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A880F0" w14:textId="77777777" w:rsidR="00F023A6" w:rsidRDefault="00775A4F" w:rsidP="00D73DCE">
      <w:pPr>
        <w:jc w:val="center"/>
        <w:rPr>
          <w:b/>
          <w:sz w:val="28"/>
          <w:szCs w:val="28"/>
          <w:u w:val="single"/>
        </w:rPr>
      </w:pPr>
      <w:r>
        <w:rPr>
          <w:b/>
          <w:sz w:val="28"/>
          <w:szCs w:val="28"/>
          <w:u w:val="single"/>
        </w:rPr>
        <w:t>Niere</w:t>
      </w:r>
    </w:p>
    <w:p w14:paraId="6E67524C" w14:textId="77777777" w:rsidR="00775A4F" w:rsidRPr="00CB2148" w:rsidRDefault="00775A4F" w:rsidP="00D73DCE">
      <w:pPr>
        <w:spacing w:after="0"/>
        <w:rPr>
          <w:b/>
          <w:sz w:val="26"/>
          <w:szCs w:val="26"/>
        </w:rPr>
      </w:pPr>
      <w:r w:rsidRPr="00775A4F">
        <w:rPr>
          <w:b/>
          <w:sz w:val="26"/>
          <w:szCs w:val="26"/>
        </w:rPr>
        <w:t>Niere I</w:t>
      </w:r>
    </w:p>
    <w:p w14:paraId="0CCD2905" w14:textId="77777777" w:rsidR="00D73DCE" w:rsidRPr="00D73DCE" w:rsidRDefault="00775A4F" w:rsidP="00D73DCE">
      <w:pPr>
        <w:spacing w:after="0"/>
        <w:rPr>
          <w:color w:val="C45911" w:themeColor="accent2" w:themeShade="BF"/>
          <w:sz w:val="26"/>
          <w:szCs w:val="26"/>
        </w:rPr>
      </w:pPr>
      <w:r>
        <w:rPr>
          <w:color w:val="C45911" w:themeColor="accent2" w:themeShade="BF"/>
          <w:sz w:val="26"/>
          <w:szCs w:val="26"/>
        </w:rPr>
        <w:t>Filtrationsapparat in den Nierenglomeruli zu beschreiben.</w:t>
      </w:r>
    </w:p>
    <w:p w14:paraId="35AB5E96" w14:textId="77777777" w:rsidR="00775A4F" w:rsidRPr="00985F62" w:rsidRDefault="00327F54" w:rsidP="00327F54">
      <w:pPr>
        <w:spacing w:after="0" w:line="240" w:lineRule="auto"/>
      </w:pPr>
      <w:r w:rsidRPr="00985F62">
        <w:t>Nierenglomerulus:</w:t>
      </w:r>
    </w:p>
    <w:p w14:paraId="0A587C0F" w14:textId="77777777" w:rsidR="00327F54" w:rsidRPr="00985F62" w:rsidRDefault="00327F54" w:rsidP="00327F54">
      <w:pPr>
        <w:pStyle w:val="StandardWeb"/>
        <w:spacing w:after="0" w:line="240" w:lineRule="auto"/>
        <w:ind w:left="708"/>
        <w:rPr>
          <w:rFonts w:asciiTheme="minorHAnsi" w:hAnsiTheme="minorHAnsi"/>
          <w:sz w:val="22"/>
          <w:szCs w:val="22"/>
          <w:lang w:val="de-DE"/>
        </w:rPr>
      </w:pPr>
      <w:r w:rsidRPr="00985F62">
        <w:rPr>
          <w:rFonts w:asciiTheme="minorHAnsi" w:hAnsiTheme="minorHAnsi"/>
          <w:sz w:val="22"/>
          <w:szCs w:val="22"/>
          <w:lang w:val="de-DE"/>
        </w:rPr>
        <w:t xml:space="preserve">Am Gefäßpol tritt das zuführende arterielle </w:t>
      </w:r>
      <w:hyperlink r:id="rId8" w:tooltip="Gefäß" w:history="1">
        <w:r w:rsidRPr="00985F62">
          <w:rPr>
            <w:rFonts w:asciiTheme="minorHAnsi" w:hAnsiTheme="minorHAnsi"/>
            <w:sz w:val="22"/>
            <w:szCs w:val="22"/>
            <w:lang w:val="de-DE"/>
          </w:rPr>
          <w:t>Gefäß</w:t>
        </w:r>
      </w:hyperlink>
      <w:r w:rsidRPr="00985F62">
        <w:rPr>
          <w:rFonts w:asciiTheme="minorHAnsi" w:hAnsiTheme="minorHAnsi"/>
          <w:sz w:val="22"/>
          <w:szCs w:val="22"/>
          <w:lang w:val="de-DE"/>
        </w:rPr>
        <w:t xml:space="preserve"> (</w:t>
      </w:r>
      <w:hyperlink r:id="rId9" w:tooltip="Arteriola afferens" w:history="1">
        <w:r w:rsidRPr="00985F62">
          <w:rPr>
            <w:rFonts w:asciiTheme="minorHAnsi" w:hAnsiTheme="minorHAnsi"/>
            <w:sz w:val="22"/>
            <w:szCs w:val="22"/>
            <w:lang w:val="de-DE"/>
          </w:rPr>
          <w:t>Arteriola afferens</w:t>
        </w:r>
      </w:hyperlink>
      <w:r w:rsidRPr="00985F62">
        <w:rPr>
          <w:rFonts w:asciiTheme="minorHAnsi" w:hAnsiTheme="minorHAnsi"/>
          <w:sz w:val="22"/>
          <w:szCs w:val="22"/>
          <w:lang w:val="de-DE"/>
        </w:rPr>
        <w:t xml:space="preserve">) in das Nierenkörperchen ein. Dort verzweigt es sich in ein miteinander in Verbindung stehendes, girlandenförmiges Knäuel aus Kapillarschlingen, den </w:t>
      </w:r>
      <w:hyperlink r:id="rId10" w:tooltip="Glomerulus" w:history="1">
        <w:r w:rsidRPr="00985F62">
          <w:rPr>
            <w:rFonts w:asciiTheme="minorHAnsi" w:hAnsiTheme="minorHAnsi"/>
            <w:sz w:val="22"/>
            <w:szCs w:val="22"/>
            <w:lang w:val="de-DE"/>
          </w:rPr>
          <w:t>Glomerulus</w:t>
        </w:r>
      </w:hyperlink>
      <w:r w:rsidRPr="00985F62">
        <w:rPr>
          <w:rFonts w:asciiTheme="minorHAnsi" w:hAnsiTheme="minorHAnsi"/>
          <w:sz w:val="22"/>
          <w:szCs w:val="22"/>
          <w:lang w:val="de-DE"/>
        </w:rPr>
        <w:t xml:space="preserve">. In die Wand der Arteriola afferens sind Bestandteile des </w:t>
      </w:r>
      <w:hyperlink r:id="rId11" w:tooltip="Juxtaglomerulärer Apparat" w:history="1">
        <w:r w:rsidRPr="00985F62">
          <w:rPr>
            <w:rFonts w:asciiTheme="minorHAnsi" w:hAnsiTheme="minorHAnsi"/>
            <w:sz w:val="22"/>
            <w:szCs w:val="22"/>
            <w:lang w:val="de-DE"/>
          </w:rPr>
          <w:t>juxtaglomerulären Apparates</w:t>
        </w:r>
      </w:hyperlink>
      <w:r w:rsidRPr="00985F62">
        <w:rPr>
          <w:rFonts w:asciiTheme="minorHAnsi" w:hAnsiTheme="minorHAnsi"/>
          <w:sz w:val="22"/>
          <w:szCs w:val="22"/>
          <w:lang w:val="de-DE"/>
        </w:rPr>
        <w:t xml:space="preserve"> eingelassen. Die </w:t>
      </w:r>
      <w:hyperlink r:id="rId12" w:tooltip="Kapillare" w:history="1">
        <w:r w:rsidRPr="00985F62">
          <w:rPr>
            <w:rFonts w:asciiTheme="minorHAnsi" w:hAnsiTheme="minorHAnsi"/>
            <w:sz w:val="22"/>
            <w:szCs w:val="22"/>
            <w:lang w:val="de-DE"/>
          </w:rPr>
          <w:t>Kapillarschlingen</w:t>
        </w:r>
      </w:hyperlink>
      <w:r w:rsidRPr="00985F62">
        <w:rPr>
          <w:rFonts w:asciiTheme="minorHAnsi" w:hAnsiTheme="minorHAnsi"/>
          <w:sz w:val="22"/>
          <w:szCs w:val="22"/>
          <w:lang w:val="de-DE"/>
        </w:rPr>
        <w:t xml:space="preserve"> vereinigen sich wieder zu einem wegführenden Gefäß (</w:t>
      </w:r>
      <w:hyperlink r:id="rId13" w:tooltip="Arteriola efferens" w:history="1">
        <w:r w:rsidRPr="00985F62">
          <w:rPr>
            <w:rFonts w:asciiTheme="minorHAnsi" w:hAnsiTheme="minorHAnsi"/>
            <w:sz w:val="22"/>
            <w:szCs w:val="22"/>
            <w:lang w:val="de-DE"/>
          </w:rPr>
          <w:t>Arteriola efferens</w:t>
        </w:r>
      </w:hyperlink>
      <w:r w:rsidRPr="00985F62">
        <w:rPr>
          <w:rFonts w:asciiTheme="minorHAnsi" w:hAnsiTheme="minorHAnsi"/>
          <w:sz w:val="22"/>
          <w:szCs w:val="22"/>
          <w:lang w:val="de-DE"/>
        </w:rPr>
        <w:t xml:space="preserve">), das ebenfalls am Gefäßpol austritt. </w:t>
      </w:r>
    </w:p>
    <w:p w14:paraId="7F9BFD93" w14:textId="77777777" w:rsidR="00327F54" w:rsidRPr="00985F62" w:rsidRDefault="00327F54" w:rsidP="00327F54">
      <w:pPr>
        <w:pStyle w:val="StandardWeb"/>
        <w:spacing w:after="0" w:line="240" w:lineRule="auto"/>
        <w:ind w:left="708"/>
        <w:rPr>
          <w:rFonts w:asciiTheme="minorHAnsi" w:hAnsiTheme="minorHAnsi"/>
          <w:sz w:val="22"/>
          <w:szCs w:val="22"/>
          <w:lang w:val="de-DE"/>
        </w:rPr>
      </w:pPr>
      <w:r w:rsidRPr="00985F62">
        <w:rPr>
          <w:rFonts w:asciiTheme="minorHAnsi" w:hAnsiTheme="minorHAnsi"/>
          <w:sz w:val="22"/>
          <w:szCs w:val="22"/>
          <w:lang w:val="de-DE"/>
        </w:rPr>
        <w:t xml:space="preserve">Die Wand des Glomerulus besteht aus </w:t>
      </w:r>
      <w:hyperlink r:id="rId14" w:tooltip="Endothel" w:history="1">
        <w:r w:rsidRPr="00985F62">
          <w:rPr>
            <w:rFonts w:asciiTheme="minorHAnsi" w:hAnsiTheme="minorHAnsi"/>
            <w:sz w:val="22"/>
            <w:szCs w:val="22"/>
            <w:lang w:val="de-DE"/>
          </w:rPr>
          <w:t>Kapillarendothel</w:t>
        </w:r>
      </w:hyperlink>
      <w:r w:rsidRPr="00985F62">
        <w:rPr>
          <w:rFonts w:asciiTheme="minorHAnsi" w:hAnsiTheme="minorHAnsi"/>
          <w:sz w:val="22"/>
          <w:szCs w:val="22"/>
          <w:lang w:val="de-DE"/>
        </w:rPr>
        <w:t xml:space="preserve"> und einer angelagerten </w:t>
      </w:r>
      <w:hyperlink r:id="rId15" w:tooltip="Basallamina" w:history="1">
        <w:r w:rsidRPr="00985F62">
          <w:rPr>
            <w:rFonts w:asciiTheme="minorHAnsi" w:hAnsiTheme="minorHAnsi"/>
            <w:sz w:val="22"/>
            <w:szCs w:val="22"/>
            <w:lang w:val="de-DE"/>
          </w:rPr>
          <w:t>Basallamina</w:t>
        </w:r>
      </w:hyperlink>
      <w:r w:rsidRPr="00985F62">
        <w:rPr>
          <w:rFonts w:asciiTheme="minorHAnsi" w:hAnsiTheme="minorHAnsi"/>
          <w:sz w:val="22"/>
          <w:szCs w:val="22"/>
          <w:lang w:val="de-DE"/>
        </w:rPr>
        <w:t xml:space="preserve">, an der wiederum die </w:t>
      </w:r>
      <w:hyperlink r:id="rId16" w:tooltip="Podozyt" w:history="1">
        <w:r w:rsidRPr="00985F62">
          <w:rPr>
            <w:rFonts w:asciiTheme="minorHAnsi" w:hAnsiTheme="minorHAnsi"/>
            <w:sz w:val="22"/>
            <w:szCs w:val="22"/>
            <w:lang w:val="de-DE"/>
          </w:rPr>
          <w:t>Podozyten</w:t>
        </w:r>
      </w:hyperlink>
      <w:r w:rsidRPr="00985F62">
        <w:rPr>
          <w:rFonts w:asciiTheme="minorHAnsi" w:hAnsiTheme="minorHAnsi"/>
          <w:sz w:val="22"/>
          <w:szCs w:val="22"/>
          <w:lang w:val="de-DE"/>
        </w:rPr>
        <w:t xml:space="preserve"> der Bowmann-Kapsel ansetzen. Die Einheit dieser drei Bestandteile ist für die Filtration zuständig.</w:t>
      </w:r>
    </w:p>
    <w:p w14:paraId="1E5BDE1A" w14:textId="77777777" w:rsidR="002A7690" w:rsidRPr="00985F62" w:rsidRDefault="002A7690" w:rsidP="002A7690">
      <w:pPr>
        <w:pStyle w:val="StandardWeb"/>
        <w:spacing w:after="0" w:line="240" w:lineRule="auto"/>
        <w:ind w:left="708"/>
        <w:rPr>
          <w:rFonts w:asciiTheme="minorHAnsi" w:hAnsiTheme="minorHAnsi"/>
          <w:sz w:val="22"/>
          <w:szCs w:val="22"/>
          <w:lang w:val="de-DE"/>
        </w:rPr>
      </w:pPr>
      <w:r w:rsidRPr="00985F62">
        <w:rPr>
          <w:rFonts w:asciiTheme="minorHAnsi" w:hAnsiTheme="minorHAnsi"/>
          <w:sz w:val="22"/>
          <w:szCs w:val="22"/>
          <w:lang w:val="de-DE"/>
        </w:rPr>
        <w:t>Afferente und efferente Arteriolen regulieren den Filtrationsdruck in den glomerulären Kapillaren.</w:t>
      </w:r>
    </w:p>
    <w:p w14:paraId="45643BED" w14:textId="77777777" w:rsidR="00327F54" w:rsidRPr="00985F62" w:rsidRDefault="00327F54" w:rsidP="00327F54">
      <w:pPr>
        <w:pStyle w:val="StandardWeb"/>
        <w:spacing w:after="0" w:line="240" w:lineRule="auto"/>
        <w:rPr>
          <w:rFonts w:asciiTheme="minorHAnsi" w:hAnsiTheme="minorHAnsi"/>
          <w:sz w:val="22"/>
          <w:szCs w:val="22"/>
          <w:lang w:val="de-DE"/>
        </w:rPr>
      </w:pPr>
      <w:r w:rsidRPr="00985F62">
        <w:rPr>
          <w:rFonts w:asciiTheme="minorHAnsi" w:hAnsiTheme="minorHAnsi"/>
          <w:sz w:val="22"/>
          <w:szCs w:val="22"/>
          <w:lang w:val="de-DE"/>
        </w:rPr>
        <w:t>Filtrationsschlitze</w:t>
      </w:r>
    </w:p>
    <w:p w14:paraId="315BBA95" w14:textId="77777777" w:rsidR="00327F54" w:rsidRPr="00985F62" w:rsidRDefault="00327F54" w:rsidP="00327F54">
      <w:pPr>
        <w:pStyle w:val="StandardWeb"/>
        <w:spacing w:after="0" w:line="240" w:lineRule="auto"/>
        <w:ind w:left="708"/>
        <w:rPr>
          <w:rFonts w:asciiTheme="minorHAnsi" w:hAnsiTheme="minorHAnsi"/>
          <w:sz w:val="22"/>
          <w:szCs w:val="22"/>
          <w:lang w:val="de-DE"/>
        </w:rPr>
      </w:pPr>
      <w:r w:rsidRPr="00985F62">
        <w:rPr>
          <w:rFonts w:asciiTheme="minorHAnsi" w:hAnsiTheme="minorHAnsi"/>
          <w:sz w:val="22"/>
          <w:szCs w:val="22"/>
          <w:lang w:val="de-DE"/>
        </w:rPr>
        <w:t xml:space="preserve">Die Filtrationsschlitze werden von den </w:t>
      </w:r>
      <w:hyperlink r:id="rId17" w:tooltip="Podozyt" w:history="1">
        <w:r w:rsidRPr="00985F62">
          <w:rPr>
            <w:rFonts w:asciiTheme="minorHAnsi" w:hAnsiTheme="minorHAnsi"/>
            <w:sz w:val="22"/>
            <w:szCs w:val="22"/>
            <w:lang w:val="de-DE"/>
          </w:rPr>
          <w:t>Podozyten</w:t>
        </w:r>
      </w:hyperlink>
      <w:r w:rsidRPr="00985F62">
        <w:rPr>
          <w:rFonts w:asciiTheme="minorHAnsi" w:hAnsiTheme="minorHAnsi"/>
          <w:sz w:val="22"/>
          <w:szCs w:val="22"/>
          <w:lang w:val="de-DE"/>
        </w:rPr>
        <w:t xml:space="preserve"> gebildet. Die Podozyten haben primäre und sekundäre Zellfortsätze, die man auch als Füsse erster bzw. zweiter Ordnung bezeichnet. Die primären und sekundären Zellfortsätze verschiedener Podozyten verzahnen sich untereinander und bilden so ein dichtes Netz von feinen Filtrationsschlitzen ("filtration slits"). Sie sind von einem dünnen, nur 4 nm starken </w:t>
      </w:r>
      <w:hyperlink r:id="rId18" w:tooltip="Schlitzdiaphragma" w:history="1">
        <w:r w:rsidRPr="00985F62">
          <w:rPr>
            <w:rFonts w:asciiTheme="minorHAnsi" w:hAnsiTheme="minorHAnsi"/>
            <w:sz w:val="22"/>
            <w:szCs w:val="22"/>
            <w:lang w:val="de-DE"/>
          </w:rPr>
          <w:t>Schlitzdiaphragma</w:t>
        </w:r>
      </w:hyperlink>
      <w:r w:rsidRPr="00985F62">
        <w:rPr>
          <w:rFonts w:asciiTheme="minorHAnsi" w:hAnsiTheme="minorHAnsi"/>
          <w:sz w:val="22"/>
          <w:szCs w:val="22"/>
          <w:lang w:val="de-DE"/>
        </w:rPr>
        <w:t xml:space="preserve"> überzogen. Dieses abschliessende Filter hält kleinere Proteine zurück.</w:t>
      </w:r>
    </w:p>
    <w:p w14:paraId="2711A48C" w14:textId="77777777" w:rsidR="00327F54" w:rsidRPr="00985F62" w:rsidRDefault="002A7690" w:rsidP="00327F54">
      <w:pPr>
        <w:spacing w:after="0" w:line="240" w:lineRule="auto"/>
      </w:pPr>
      <w:r w:rsidRPr="00985F62">
        <w:t>Glucose, Insulin und Myoglobin passen gut durch diese Poren, aber Albumin und Hämoglobin normalerweise nicht.</w:t>
      </w:r>
    </w:p>
    <w:p w14:paraId="6AE24E19" w14:textId="77777777" w:rsidR="00775A4F" w:rsidRPr="00985F62" w:rsidRDefault="002A7690" w:rsidP="00775A4F">
      <w:pPr>
        <w:spacing w:after="0"/>
      </w:pPr>
      <w:r w:rsidRPr="00985F62">
        <w:t>GFR (= glomeruläre Filtrationsrate), umso länger die Kapillare, umso geringer wird der effektive Filtrationsdruck.</w:t>
      </w:r>
    </w:p>
    <w:p w14:paraId="06DAFA9D" w14:textId="77777777" w:rsidR="002A7690" w:rsidRPr="00985F62" w:rsidRDefault="002A7690" w:rsidP="00775A4F">
      <w:pPr>
        <w:spacing w:after="0"/>
      </w:pPr>
    </w:p>
    <w:p w14:paraId="19CD114F" w14:textId="77777777" w:rsidR="00775A4F" w:rsidRPr="00327F54" w:rsidRDefault="00775A4F" w:rsidP="00775A4F">
      <w:pPr>
        <w:spacing w:after="0"/>
        <w:rPr>
          <w:color w:val="C45911" w:themeColor="accent2" w:themeShade="BF"/>
          <w:sz w:val="26"/>
          <w:szCs w:val="26"/>
        </w:rPr>
      </w:pPr>
      <w:r w:rsidRPr="00327F54">
        <w:rPr>
          <w:color w:val="C45911" w:themeColor="accent2" w:themeShade="BF"/>
          <w:sz w:val="26"/>
          <w:szCs w:val="26"/>
        </w:rPr>
        <w:t>Autorregulation der Nierendurchblutung und die Triebkräfte der glomerulären Filtration zu erläutern.</w:t>
      </w:r>
    </w:p>
    <w:p w14:paraId="6B1DC6FC" w14:textId="77777777" w:rsidR="00775A4F" w:rsidRPr="00327F54" w:rsidRDefault="002A7690" w:rsidP="00775A4F">
      <w:pPr>
        <w:spacing w:after="0"/>
        <w:rPr>
          <w:sz w:val="24"/>
          <w:szCs w:val="24"/>
        </w:rPr>
      </w:pPr>
      <w:r>
        <w:rPr>
          <w:noProof/>
          <w:sz w:val="24"/>
          <w:szCs w:val="24"/>
          <w:lang w:val="en-US"/>
        </w:rPr>
        <w:drawing>
          <wp:inline distT="0" distB="0" distL="0" distR="0">
            <wp:extent cx="3095640" cy="2107096"/>
            <wp:effectExtent l="0" t="0" r="0" b="762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EC67F1.tmp"/>
                    <pic:cNvPicPr/>
                  </pic:nvPicPr>
                  <pic:blipFill>
                    <a:blip r:embed="rId19">
                      <a:extLst>
                        <a:ext uri="{28A0092B-C50C-407E-A947-70E740481C1C}">
                          <a14:useLocalDpi xmlns:a14="http://schemas.microsoft.com/office/drawing/2010/main" val="0"/>
                        </a:ext>
                      </a:extLst>
                    </a:blip>
                    <a:stretch>
                      <a:fillRect/>
                    </a:stretch>
                  </pic:blipFill>
                  <pic:spPr>
                    <a:xfrm>
                      <a:off x="0" y="0"/>
                      <a:ext cx="3102813" cy="2111978"/>
                    </a:xfrm>
                    <a:prstGeom prst="rect">
                      <a:avLst/>
                    </a:prstGeom>
                  </pic:spPr>
                </pic:pic>
              </a:graphicData>
            </a:graphic>
          </wp:inline>
        </w:drawing>
      </w:r>
    </w:p>
    <w:p w14:paraId="70678FBB" w14:textId="77777777" w:rsidR="00775A4F" w:rsidRDefault="00775A4F" w:rsidP="00775A4F">
      <w:pPr>
        <w:spacing w:after="0"/>
        <w:rPr>
          <w:sz w:val="24"/>
          <w:szCs w:val="24"/>
        </w:rPr>
      </w:pPr>
    </w:p>
    <w:p w14:paraId="5001DF36" w14:textId="77777777" w:rsidR="002A7690" w:rsidRPr="00985F62" w:rsidRDefault="002A7690" w:rsidP="00775A4F">
      <w:pPr>
        <w:spacing w:after="0"/>
      </w:pPr>
      <w:r w:rsidRPr="00985F62">
        <w:t>Der hydrostatische Druck fällt von der Aorta über die A. renalis bis zum Minimum der V. renalis.</w:t>
      </w:r>
    </w:p>
    <w:p w14:paraId="72DCF235" w14:textId="77777777" w:rsidR="002A7690" w:rsidRPr="00985F62" w:rsidRDefault="002A7690" w:rsidP="00775A4F">
      <w:pPr>
        <w:spacing w:after="0"/>
      </w:pPr>
      <w:r w:rsidRPr="00985F62">
        <w:t>Der juxtaglomeruläre Apparat dient der mittelfristigen systemischen Blutdruckregulation über die Produktion von Renin:</w:t>
      </w:r>
    </w:p>
    <w:p w14:paraId="2144C20F" w14:textId="77777777" w:rsidR="002A7690" w:rsidRPr="00985F62" w:rsidRDefault="002A7690" w:rsidP="002A7690">
      <w:pPr>
        <w:pStyle w:val="StandardWeb"/>
        <w:numPr>
          <w:ilvl w:val="0"/>
          <w:numId w:val="9"/>
        </w:numPr>
        <w:spacing w:after="0" w:line="240" w:lineRule="auto"/>
        <w:rPr>
          <w:rFonts w:asciiTheme="minorHAnsi" w:hAnsiTheme="minorHAnsi"/>
          <w:sz w:val="22"/>
          <w:szCs w:val="22"/>
          <w:lang w:val="de-DE"/>
        </w:rPr>
      </w:pPr>
      <w:r w:rsidRPr="00985F62">
        <w:rPr>
          <w:rFonts w:asciiTheme="minorHAnsi" w:hAnsiTheme="minorHAnsi"/>
          <w:sz w:val="22"/>
          <w:szCs w:val="22"/>
          <w:lang w:val="de-DE"/>
        </w:rPr>
        <w:t xml:space="preserve">Renin bewirkt: </w:t>
      </w:r>
    </w:p>
    <w:p w14:paraId="65D57504" w14:textId="77777777" w:rsidR="002A7690" w:rsidRPr="00985F62" w:rsidRDefault="002A7690" w:rsidP="002A7690">
      <w:pPr>
        <w:pStyle w:val="Listenabsatz"/>
        <w:numPr>
          <w:ilvl w:val="0"/>
          <w:numId w:val="9"/>
        </w:numPr>
        <w:spacing w:after="0" w:line="240" w:lineRule="auto"/>
        <w:rPr>
          <w:rFonts w:eastAsia="Times New Roman" w:cs="Times New Roman"/>
        </w:rPr>
      </w:pPr>
      <w:r w:rsidRPr="00985F62">
        <w:rPr>
          <w:rFonts w:eastAsia="Times New Roman" w:cs="Times New Roman"/>
        </w:rPr>
        <w:t xml:space="preserve">eine mittelfristige Blutdrucksteigerung über das </w:t>
      </w:r>
      <w:hyperlink r:id="rId20" w:tooltip="Renin-Angiotensin-Aldosteron-System" w:history="1">
        <w:r w:rsidRPr="00985F62">
          <w:rPr>
            <w:rFonts w:eastAsia="Times New Roman" w:cs="Times New Roman"/>
          </w:rPr>
          <w:t>Renin-Angiotensin-Aldosteron-System</w:t>
        </w:r>
      </w:hyperlink>
      <w:r w:rsidRPr="00985F62">
        <w:rPr>
          <w:rFonts w:eastAsia="Times New Roman" w:cs="Times New Roman"/>
        </w:rPr>
        <w:t xml:space="preserve"> </w:t>
      </w:r>
    </w:p>
    <w:p w14:paraId="48F703CD" w14:textId="77777777" w:rsidR="002A7690" w:rsidRPr="00985F62" w:rsidRDefault="002A7690" w:rsidP="002A7690">
      <w:pPr>
        <w:pStyle w:val="Listenabsatz"/>
        <w:numPr>
          <w:ilvl w:val="0"/>
          <w:numId w:val="9"/>
        </w:numPr>
        <w:spacing w:after="0" w:line="240" w:lineRule="auto"/>
        <w:rPr>
          <w:rFonts w:eastAsia="Times New Roman" w:cs="Times New Roman"/>
        </w:rPr>
      </w:pPr>
      <w:r w:rsidRPr="00985F62">
        <w:rPr>
          <w:rFonts w:eastAsia="Times New Roman" w:cs="Times New Roman"/>
        </w:rPr>
        <w:t xml:space="preserve">eine über </w:t>
      </w:r>
      <w:hyperlink r:id="rId21" w:tooltip="Aldosteron" w:history="1">
        <w:r w:rsidRPr="00985F62">
          <w:rPr>
            <w:rFonts w:eastAsia="Times New Roman" w:cs="Times New Roman"/>
          </w:rPr>
          <w:t>Aldosteron</w:t>
        </w:r>
      </w:hyperlink>
      <w:r w:rsidRPr="00985F62">
        <w:rPr>
          <w:rFonts w:eastAsia="Times New Roman" w:cs="Times New Roman"/>
        </w:rPr>
        <w:t xml:space="preserve"> vermittelte Natriumretention im </w:t>
      </w:r>
      <w:hyperlink r:id="rId22" w:tooltip="Distales Konvolut" w:history="1">
        <w:r w:rsidRPr="00985F62">
          <w:rPr>
            <w:rFonts w:eastAsia="Times New Roman" w:cs="Times New Roman"/>
          </w:rPr>
          <w:t>distalen Konvolut</w:t>
        </w:r>
      </w:hyperlink>
      <w:r w:rsidRPr="00985F62">
        <w:rPr>
          <w:rFonts w:eastAsia="Times New Roman" w:cs="Times New Roman"/>
        </w:rPr>
        <w:t xml:space="preserve"> </w:t>
      </w:r>
    </w:p>
    <w:p w14:paraId="4759B826" w14:textId="77777777" w:rsidR="002A7690" w:rsidRPr="00985F62" w:rsidRDefault="002A7690" w:rsidP="002A7690">
      <w:pPr>
        <w:pStyle w:val="Listenabsatz"/>
        <w:numPr>
          <w:ilvl w:val="0"/>
          <w:numId w:val="9"/>
        </w:numPr>
        <w:spacing w:after="0" w:line="240" w:lineRule="auto"/>
        <w:rPr>
          <w:rFonts w:eastAsia="Times New Roman" w:cs="Times New Roman"/>
        </w:rPr>
      </w:pPr>
      <w:r w:rsidRPr="00985F62">
        <w:rPr>
          <w:rFonts w:eastAsia="Times New Roman" w:cs="Times New Roman"/>
        </w:rPr>
        <w:lastRenderedPageBreak/>
        <w:t xml:space="preserve">Im Rahmen der systemischen Blutdruckregulation unterliegen die juxtaglomerulären Zellen weiteren sekretionsfördernden Einflüssen: </w:t>
      </w:r>
    </w:p>
    <w:p w14:paraId="57FA5A20" w14:textId="77777777" w:rsidR="002A7690" w:rsidRPr="00985F62" w:rsidRDefault="002A7690" w:rsidP="002A7690">
      <w:pPr>
        <w:pStyle w:val="Listenabsatz"/>
        <w:numPr>
          <w:ilvl w:val="0"/>
          <w:numId w:val="9"/>
        </w:numPr>
        <w:spacing w:after="0" w:line="240" w:lineRule="auto"/>
        <w:rPr>
          <w:rFonts w:eastAsia="Times New Roman" w:cs="Times New Roman"/>
        </w:rPr>
      </w:pPr>
      <w:r w:rsidRPr="00985F62">
        <w:rPr>
          <w:rFonts w:eastAsia="Times New Roman" w:cs="Times New Roman"/>
        </w:rPr>
        <w:t xml:space="preserve">Sie sind als </w:t>
      </w:r>
      <w:hyperlink r:id="rId23" w:tooltip="Barorezeptor" w:history="1">
        <w:r w:rsidRPr="00985F62">
          <w:rPr>
            <w:rFonts w:eastAsia="Times New Roman" w:cs="Times New Roman"/>
          </w:rPr>
          <w:t>Barorezeptoren</w:t>
        </w:r>
      </w:hyperlink>
      <w:r w:rsidRPr="00985F62">
        <w:rPr>
          <w:rFonts w:eastAsia="Times New Roman" w:cs="Times New Roman"/>
        </w:rPr>
        <w:t xml:space="preserve"> an der druckabhängigen Reninsekretion beteiligt. </w:t>
      </w:r>
    </w:p>
    <w:p w14:paraId="3A60730A" w14:textId="77777777" w:rsidR="002A7690" w:rsidRPr="00985F62" w:rsidRDefault="002A7690" w:rsidP="002A7690">
      <w:pPr>
        <w:pStyle w:val="Listenabsatz"/>
        <w:numPr>
          <w:ilvl w:val="0"/>
          <w:numId w:val="9"/>
        </w:numPr>
        <w:spacing w:after="0" w:line="240" w:lineRule="auto"/>
        <w:rPr>
          <w:rFonts w:eastAsia="Times New Roman" w:cs="Times New Roman"/>
        </w:rPr>
      </w:pPr>
      <w:r w:rsidRPr="00985F62">
        <w:rPr>
          <w:rFonts w:eastAsia="Times New Roman" w:cs="Times New Roman"/>
        </w:rPr>
        <w:t xml:space="preserve">Über </w:t>
      </w:r>
      <w:hyperlink r:id="rId24" w:tooltip="ß-Rezeptor (Seite nicht vorhanden)" w:history="1">
        <w:r w:rsidRPr="00985F62">
          <w:rPr>
            <w:rFonts w:eastAsia="Times New Roman" w:cs="Times New Roman"/>
          </w:rPr>
          <w:t>ß</w:t>
        </w:r>
        <w:r w:rsidRPr="00985F62">
          <w:rPr>
            <w:rFonts w:eastAsia="Times New Roman" w:cs="Times New Roman"/>
            <w:vertAlign w:val="subscript"/>
          </w:rPr>
          <w:t>1</w:t>
        </w:r>
        <w:r w:rsidRPr="00985F62">
          <w:rPr>
            <w:rFonts w:eastAsia="Times New Roman" w:cs="Times New Roman"/>
          </w:rPr>
          <w:t>-Rezeptoren</w:t>
        </w:r>
      </w:hyperlink>
      <w:r w:rsidRPr="00985F62">
        <w:rPr>
          <w:rFonts w:eastAsia="Times New Roman" w:cs="Times New Roman"/>
        </w:rPr>
        <w:t xml:space="preserve"> der </w:t>
      </w:r>
      <w:hyperlink r:id="rId25" w:tooltip="Zellmembran" w:history="1">
        <w:r w:rsidRPr="00985F62">
          <w:rPr>
            <w:rFonts w:eastAsia="Times New Roman" w:cs="Times New Roman"/>
          </w:rPr>
          <w:t>Zellmembran</w:t>
        </w:r>
      </w:hyperlink>
      <w:r w:rsidRPr="00985F62">
        <w:rPr>
          <w:rFonts w:eastAsia="Times New Roman" w:cs="Times New Roman"/>
        </w:rPr>
        <w:t xml:space="preserve"> besteht eine </w:t>
      </w:r>
      <w:hyperlink r:id="rId26" w:tooltip="Sympathisch" w:history="1">
        <w:r w:rsidRPr="00985F62">
          <w:rPr>
            <w:rFonts w:eastAsia="Times New Roman" w:cs="Times New Roman"/>
          </w:rPr>
          <w:t>sympathisch</w:t>
        </w:r>
      </w:hyperlink>
      <w:r w:rsidRPr="00985F62">
        <w:rPr>
          <w:rFonts w:eastAsia="Times New Roman" w:cs="Times New Roman"/>
        </w:rPr>
        <w:t xml:space="preserve"> </w:t>
      </w:r>
      <w:hyperlink r:id="rId27" w:tooltip="Adrenerg" w:history="1">
        <w:r w:rsidRPr="00985F62">
          <w:rPr>
            <w:rFonts w:eastAsia="Times New Roman" w:cs="Times New Roman"/>
          </w:rPr>
          <w:t>adrenerge</w:t>
        </w:r>
      </w:hyperlink>
      <w:r w:rsidRPr="00985F62">
        <w:rPr>
          <w:rFonts w:eastAsia="Times New Roman" w:cs="Times New Roman"/>
        </w:rPr>
        <w:t xml:space="preserve"> </w:t>
      </w:r>
      <w:hyperlink r:id="rId28" w:tooltip="Innervation" w:history="1">
        <w:r w:rsidRPr="00985F62">
          <w:rPr>
            <w:rFonts w:eastAsia="Times New Roman" w:cs="Times New Roman"/>
          </w:rPr>
          <w:t>Innervation</w:t>
        </w:r>
      </w:hyperlink>
      <w:r w:rsidRPr="00985F62">
        <w:rPr>
          <w:rFonts w:eastAsia="Times New Roman" w:cs="Times New Roman"/>
        </w:rPr>
        <w:t xml:space="preserve"> und Sensibilität gegenüber zirkulierenden </w:t>
      </w:r>
      <w:hyperlink r:id="rId29" w:tooltip="Katecholamin" w:history="1">
        <w:r w:rsidRPr="00985F62">
          <w:rPr>
            <w:rFonts w:eastAsia="Times New Roman" w:cs="Times New Roman"/>
          </w:rPr>
          <w:t>Katecholaminen</w:t>
        </w:r>
      </w:hyperlink>
      <w:r w:rsidRPr="00985F62">
        <w:rPr>
          <w:rFonts w:eastAsia="Times New Roman" w:cs="Times New Roman"/>
        </w:rPr>
        <w:t xml:space="preserve">. </w:t>
      </w:r>
    </w:p>
    <w:p w14:paraId="212A1250" w14:textId="77777777" w:rsidR="002A7690" w:rsidRPr="00985F62" w:rsidRDefault="002A7690" w:rsidP="00775A4F">
      <w:pPr>
        <w:spacing w:after="0"/>
      </w:pPr>
    </w:p>
    <w:p w14:paraId="660D4C12" w14:textId="77777777" w:rsidR="002E4AE1" w:rsidRPr="00985F62" w:rsidRDefault="002E4AE1" w:rsidP="00775A4F">
      <w:pPr>
        <w:spacing w:after="0"/>
      </w:pPr>
      <w:r w:rsidRPr="00985F62">
        <w:t>Tubulo-Glomerulärer-Feedback:</w:t>
      </w:r>
    </w:p>
    <w:p w14:paraId="272C338B" w14:textId="77777777" w:rsidR="002E4AE1" w:rsidRPr="00985F62" w:rsidRDefault="002E4AE1" w:rsidP="00775A4F">
      <w:pPr>
        <w:spacing w:after="0"/>
      </w:pPr>
      <w:r w:rsidRPr="00985F62">
        <w:rPr>
          <w:noProof/>
          <w:lang w:val="en-US"/>
        </w:rPr>
        <w:drawing>
          <wp:inline distT="0" distB="0" distL="0" distR="0">
            <wp:extent cx="3164069" cy="1502797"/>
            <wp:effectExtent l="0" t="0" r="0" b="254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ECE44D.tmp"/>
                    <pic:cNvPicPr/>
                  </pic:nvPicPr>
                  <pic:blipFill>
                    <a:blip r:embed="rId30">
                      <a:extLst>
                        <a:ext uri="{28A0092B-C50C-407E-A947-70E740481C1C}">
                          <a14:useLocalDpi xmlns:a14="http://schemas.microsoft.com/office/drawing/2010/main" val="0"/>
                        </a:ext>
                      </a:extLst>
                    </a:blip>
                    <a:stretch>
                      <a:fillRect/>
                    </a:stretch>
                  </pic:blipFill>
                  <pic:spPr>
                    <a:xfrm>
                      <a:off x="0" y="0"/>
                      <a:ext cx="3183434" cy="1511994"/>
                    </a:xfrm>
                    <a:prstGeom prst="rect">
                      <a:avLst/>
                    </a:prstGeom>
                  </pic:spPr>
                </pic:pic>
              </a:graphicData>
            </a:graphic>
          </wp:inline>
        </w:drawing>
      </w:r>
    </w:p>
    <w:p w14:paraId="65C22FA3" w14:textId="77777777" w:rsidR="002E4AE1" w:rsidRPr="00985F62" w:rsidRDefault="002E4AE1" w:rsidP="00775A4F">
      <w:pPr>
        <w:spacing w:after="0"/>
      </w:pPr>
    </w:p>
    <w:p w14:paraId="65AA7FBE" w14:textId="77777777" w:rsidR="002E4AE1" w:rsidRPr="00985F62" w:rsidRDefault="002E4AE1" w:rsidP="00775A4F">
      <w:pPr>
        <w:spacing w:after="0"/>
      </w:pPr>
      <w:r w:rsidRPr="00985F62">
        <w:t>Angiotensin II und systemische Blutdruckregulation</w:t>
      </w:r>
    </w:p>
    <w:p w14:paraId="58F37BB5" w14:textId="77777777" w:rsidR="002E4AE1" w:rsidRPr="00985F62" w:rsidRDefault="002E4AE1" w:rsidP="00775A4F">
      <w:pPr>
        <w:spacing w:after="0"/>
      </w:pPr>
      <w:r w:rsidRPr="00985F62">
        <w:rPr>
          <w:noProof/>
          <w:lang w:val="en-US"/>
        </w:rPr>
        <w:drawing>
          <wp:inline distT="0" distB="0" distL="0" distR="0">
            <wp:extent cx="4172532" cy="4963218"/>
            <wp:effectExtent l="0" t="0" r="0" b="889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EC96E5.tmp"/>
                    <pic:cNvPicPr/>
                  </pic:nvPicPr>
                  <pic:blipFill>
                    <a:blip r:embed="rId31">
                      <a:extLst>
                        <a:ext uri="{28A0092B-C50C-407E-A947-70E740481C1C}">
                          <a14:useLocalDpi xmlns:a14="http://schemas.microsoft.com/office/drawing/2010/main" val="0"/>
                        </a:ext>
                      </a:extLst>
                    </a:blip>
                    <a:stretch>
                      <a:fillRect/>
                    </a:stretch>
                  </pic:blipFill>
                  <pic:spPr>
                    <a:xfrm>
                      <a:off x="0" y="0"/>
                      <a:ext cx="4172532" cy="4963218"/>
                    </a:xfrm>
                    <a:prstGeom prst="rect">
                      <a:avLst/>
                    </a:prstGeom>
                  </pic:spPr>
                </pic:pic>
              </a:graphicData>
            </a:graphic>
          </wp:inline>
        </w:drawing>
      </w:r>
    </w:p>
    <w:p w14:paraId="0FDDA6DF" w14:textId="77777777" w:rsidR="002E4AE1" w:rsidRPr="00985F62" w:rsidRDefault="002E4AE1" w:rsidP="00775A4F">
      <w:pPr>
        <w:spacing w:after="0"/>
      </w:pPr>
    </w:p>
    <w:p w14:paraId="455783DD" w14:textId="77777777" w:rsidR="00775A4F" w:rsidRPr="00327F54" w:rsidRDefault="00775A4F" w:rsidP="00775A4F">
      <w:pPr>
        <w:spacing w:after="0"/>
        <w:rPr>
          <w:color w:val="C45911" w:themeColor="accent2" w:themeShade="BF"/>
          <w:sz w:val="26"/>
          <w:szCs w:val="26"/>
        </w:rPr>
      </w:pPr>
      <w:r w:rsidRPr="00327F54">
        <w:rPr>
          <w:color w:val="C45911" w:themeColor="accent2" w:themeShade="BF"/>
          <w:sz w:val="26"/>
          <w:szCs w:val="26"/>
        </w:rPr>
        <w:t>Zellulären Mechanismen der Glukose-. HCO</w:t>
      </w:r>
      <w:r w:rsidRPr="00327F54">
        <w:rPr>
          <w:color w:val="C45911" w:themeColor="accent2" w:themeShade="BF"/>
          <w:sz w:val="26"/>
          <w:szCs w:val="26"/>
          <w:vertAlign w:val="subscript"/>
        </w:rPr>
        <w:t>3</w:t>
      </w:r>
      <w:r w:rsidRPr="00327F54">
        <w:rPr>
          <w:color w:val="C45911" w:themeColor="accent2" w:themeShade="BF"/>
          <w:sz w:val="26"/>
          <w:szCs w:val="26"/>
          <w:vertAlign w:val="superscript"/>
        </w:rPr>
        <w:t>—</w:t>
      </w:r>
      <w:r w:rsidRPr="00327F54">
        <w:rPr>
          <w:color w:val="C45911" w:themeColor="accent2" w:themeShade="BF"/>
          <w:sz w:val="26"/>
          <w:szCs w:val="26"/>
        </w:rPr>
        <w:t>und Elektrolyt-Reabsorbtion aus dem Primärharn durch den Proximalen Tubulus zu erklären.</w:t>
      </w:r>
    </w:p>
    <w:p w14:paraId="496AA0BB" w14:textId="77777777" w:rsidR="00775A4F" w:rsidRPr="00985F62" w:rsidRDefault="001675C0" w:rsidP="00775A4F">
      <w:pPr>
        <w:spacing w:after="0"/>
      </w:pPr>
      <w:r w:rsidRPr="00985F62">
        <w:t>Reabsorption im Proximalen Tubulus (PT)</w:t>
      </w:r>
    </w:p>
    <w:p w14:paraId="1AA511E8" w14:textId="77777777" w:rsidR="001675C0" w:rsidRPr="00985F62" w:rsidRDefault="001675C0" w:rsidP="00775A4F">
      <w:pPr>
        <w:spacing w:after="0"/>
      </w:pPr>
      <w:r w:rsidRPr="00985F62">
        <w:rPr>
          <w:noProof/>
          <w:lang w:val="en-US"/>
        </w:rPr>
        <w:lastRenderedPageBreak/>
        <w:drawing>
          <wp:inline distT="0" distB="0" distL="0" distR="0">
            <wp:extent cx="2714436" cy="4094922"/>
            <wp:effectExtent l="0" t="0" r="0" b="127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ECA3DD.tmp"/>
                    <pic:cNvPicPr/>
                  </pic:nvPicPr>
                  <pic:blipFill>
                    <a:blip r:embed="rId32">
                      <a:extLst>
                        <a:ext uri="{28A0092B-C50C-407E-A947-70E740481C1C}">
                          <a14:useLocalDpi xmlns:a14="http://schemas.microsoft.com/office/drawing/2010/main" val="0"/>
                        </a:ext>
                      </a:extLst>
                    </a:blip>
                    <a:stretch>
                      <a:fillRect/>
                    </a:stretch>
                  </pic:blipFill>
                  <pic:spPr>
                    <a:xfrm>
                      <a:off x="0" y="0"/>
                      <a:ext cx="2718640" cy="4101264"/>
                    </a:xfrm>
                    <a:prstGeom prst="rect">
                      <a:avLst/>
                    </a:prstGeom>
                  </pic:spPr>
                </pic:pic>
              </a:graphicData>
            </a:graphic>
          </wp:inline>
        </w:drawing>
      </w:r>
    </w:p>
    <w:p w14:paraId="49ACC14E" w14:textId="77777777" w:rsidR="00775A4F" w:rsidRPr="00985F62" w:rsidRDefault="00775A4F" w:rsidP="00775A4F">
      <w:pPr>
        <w:spacing w:after="0"/>
      </w:pPr>
    </w:p>
    <w:p w14:paraId="0380A6E1" w14:textId="77777777" w:rsidR="001675C0" w:rsidRPr="00985F62" w:rsidRDefault="001675C0" w:rsidP="001675C0">
      <w:pPr>
        <w:pStyle w:val="berschrift3"/>
        <w:spacing w:before="0" w:beforeAutospacing="0" w:after="0" w:afterAutospacing="0"/>
        <w:rPr>
          <w:rFonts w:asciiTheme="minorHAnsi" w:hAnsiTheme="minorHAnsi"/>
          <w:sz w:val="22"/>
          <w:szCs w:val="22"/>
          <w:lang w:val="de-DE"/>
        </w:rPr>
      </w:pPr>
      <w:r w:rsidRPr="00985F62">
        <w:rPr>
          <w:rStyle w:val="mw-headline"/>
          <w:rFonts w:asciiTheme="minorHAnsi" w:hAnsiTheme="minorHAnsi"/>
          <w:sz w:val="22"/>
          <w:szCs w:val="22"/>
          <w:lang w:val="de-DE"/>
        </w:rPr>
        <w:t>Mineral- und Wasserresorption</w:t>
      </w:r>
    </w:p>
    <w:p w14:paraId="798EBB89" w14:textId="77777777" w:rsidR="001675C0" w:rsidRPr="00985F62" w:rsidRDefault="001675C0" w:rsidP="001675C0">
      <w:pPr>
        <w:pStyle w:val="StandardWeb"/>
        <w:spacing w:after="0" w:line="240" w:lineRule="auto"/>
        <w:rPr>
          <w:rFonts w:asciiTheme="minorHAnsi" w:hAnsiTheme="minorHAnsi"/>
          <w:sz w:val="22"/>
          <w:szCs w:val="22"/>
          <w:lang w:val="de-DE"/>
        </w:rPr>
      </w:pPr>
      <w:r w:rsidRPr="00985F62">
        <w:rPr>
          <w:rFonts w:asciiTheme="minorHAnsi" w:hAnsiTheme="minorHAnsi"/>
          <w:sz w:val="22"/>
          <w:szCs w:val="22"/>
          <w:lang w:val="de-DE"/>
        </w:rPr>
        <w:t xml:space="preserve">Etwa 60 % der über die Glomeruli filtrierten Natrium-, Kalium-, </w:t>
      </w:r>
      <w:hyperlink r:id="rId33" w:tooltip="Hydrogencarbonate" w:history="1">
        <w:r w:rsidRPr="00985F62">
          <w:rPr>
            <w:rStyle w:val="Hyperlink"/>
            <w:rFonts w:asciiTheme="minorHAnsi" w:hAnsiTheme="minorHAnsi"/>
            <w:color w:val="auto"/>
            <w:sz w:val="22"/>
            <w:szCs w:val="22"/>
            <w:u w:val="none"/>
            <w:lang w:val="de-DE"/>
          </w:rPr>
          <w:t>Hydrogencarbonat-</w:t>
        </w:r>
      </w:hyperlink>
      <w:r w:rsidRPr="00985F62">
        <w:rPr>
          <w:rFonts w:asciiTheme="minorHAnsi" w:hAnsiTheme="minorHAnsi"/>
          <w:sz w:val="22"/>
          <w:szCs w:val="22"/>
          <w:lang w:val="de-DE"/>
        </w:rPr>
        <w:t xml:space="preserve"> und Chlorid-Ionen werden in den proximalen Tubuli resorbiert. Auch Phosphat- und Sulfationen gehören dazu. Ein Teil dieser Stoffe wird durch die Tubuluszellen hindurch (</w:t>
      </w:r>
      <w:r w:rsidRPr="00985F62">
        <w:rPr>
          <w:rFonts w:asciiTheme="minorHAnsi" w:hAnsiTheme="minorHAnsi"/>
          <w:i/>
          <w:iCs/>
          <w:sz w:val="22"/>
          <w:szCs w:val="22"/>
          <w:lang w:val="de-DE"/>
        </w:rPr>
        <w:t>transzellulär</w:t>
      </w:r>
      <w:r w:rsidRPr="00985F62">
        <w:rPr>
          <w:rFonts w:asciiTheme="minorHAnsi" w:hAnsiTheme="minorHAnsi"/>
          <w:sz w:val="22"/>
          <w:szCs w:val="22"/>
          <w:lang w:val="de-DE"/>
        </w:rPr>
        <w:t xml:space="preserve">) resorbiert. Bei Kalium, Chlorid, Calcium oder Harnstoff ermöglicht der Konzentrationsgradient die parazelluläre Diffusion (zwischen den Tubuluszellen) und so die Rückresorption. Beim Wasser genügt bereits der osmotische Druck für die parazelluläre Resorption. Durch den sogenannten </w:t>
      </w:r>
      <w:hyperlink r:id="rId34" w:tooltip="Solvent Drag" w:history="1">
        <w:r w:rsidRPr="00985F62">
          <w:rPr>
            <w:rStyle w:val="Hyperlink"/>
            <w:rFonts w:asciiTheme="minorHAnsi" w:hAnsiTheme="minorHAnsi"/>
            <w:i/>
            <w:iCs/>
            <w:color w:val="auto"/>
            <w:sz w:val="22"/>
            <w:szCs w:val="22"/>
            <w:u w:val="none"/>
            <w:lang w:val="de-DE"/>
          </w:rPr>
          <w:t>Solvent Drag</w:t>
        </w:r>
      </w:hyperlink>
      <w:r w:rsidRPr="00985F62">
        <w:rPr>
          <w:rFonts w:asciiTheme="minorHAnsi" w:hAnsiTheme="minorHAnsi"/>
          <w:sz w:val="22"/>
          <w:szCs w:val="22"/>
          <w:lang w:val="de-DE"/>
        </w:rPr>
        <w:t xml:space="preserve"> werden dabei auch im Wasser gelöste Ionen mit gezogen. Zudem haben die Tubuluszellen keine spezifischen Kaliumtransporter.</w:t>
      </w:r>
    </w:p>
    <w:p w14:paraId="73BD60A4" w14:textId="77777777" w:rsidR="001675C0" w:rsidRPr="00985F62" w:rsidRDefault="001675C0" w:rsidP="001675C0">
      <w:pPr>
        <w:pStyle w:val="StandardWeb"/>
        <w:spacing w:after="0" w:line="240" w:lineRule="auto"/>
        <w:rPr>
          <w:rFonts w:asciiTheme="minorHAnsi" w:hAnsiTheme="minorHAnsi"/>
          <w:sz w:val="22"/>
          <w:szCs w:val="22"/>
          <w:lang w:val="de-DE"/>
        </w:rPr>
      </w:pPr>
    </w:p>
    <w:p w14:paraId="433166BE" w14:textId="77777777" w:rsidR="001675C0" w:rsidRPr="00985F62" w:rsidRDefault="001675C0" w:rsidP="001675C0">
      <w:pPr>
        <w:pStyle w:val="StandardWeb"/>
        <w:spacing w:after="0" w:line="240" w:lineRule="auto"/>
        <w:rPr>
          <w:rFonts w:asciiTheme="minorHAnsi" w:hAnsiTheme="minorHAnsi"/>
          <w:sz w:val="22"/>
          <w:szCs w:val="22"/>
          <w:lang w:val="de-DE"/>
        </w:rPr>
      </w:pPr>
      <w:r w:rsidRPr="00985F62">
        <w:rPr>
          <w:rFonts w:asciiTheme="minorHAnsi" w:hAnsiTheme="minorHAnsi"/>
          <w:sz w:val="22"/>
          <w:szCs w:val="22"/>
          <w:lang w:val="de-DE"/>
        </w:rPr>
        <w:t xml:space="preserve">Die Natriumionen werden im </w:t>
      </w:r>
      <w:hyperlink r:id="rId35" w:tooltip="Membrantransport" w:history="1">
        <w:r w:rsidRPr="00985F62">
          <w:rPr>
            <w:rStyle w:val="Hyperlink"/>
            <w:rFonts w:asciiTheme="minorHAnsi" w:hAnsiTheme="minorHAnsi"/>
            <w:color w:val="auto"/>
            <w:sz w:val="22"/>
            <w:szCs w:val="22"/>
            <w:u w:val="none"/>
            <w:lang w:val="de-DE"/>
          </w:rPr>
          <w:t>Antiport</w:t>
        </w:r>
      </w:hyperlink>
      <w:r w:rsidRPr="00985F62">
        <w:rPr>
          <w:rFonts w:asciiTheme="minorHAnsi" w:hAnsiTheme="minorHAnsi"/>
          <w:sz w:val="22"/>
          <w:szCs w:val="22"/>
          <w:lang w:val="de-DE"/>
        </w:rPr>
        <w:t xml:space="preserve"> mit </w:t>
      </w:r>
      <w:hyperlink r:id="rId36" w:tooltip="Proton (Chemie)" w:history="1">
        <w:r w:rsidRPr="00985F62">
          <w:rPr>
            <w:rStyle w:val="Hyperlink"/>
            <w:rFonts w:asciiTheme="minorHAnsi" w:hAnsiTheme="minorHAnsi"/>
            <w:color w:val="auto"/>
            <w:sz w:val="22"/>
            <w:szCs w:val="22"/>
            <w:u w:val="none"/>
            <w:lang w:val="de-DE"/>
          </w:rPr>
          <w:t>Protonen</w:t>
        </w:r>
      </w:hyperlink>
      <w:r w:rsidRPr="00985F62">
        <w:rPr>
          <w:rFonts w:asciiTheme="minorHAnsi" w:hAnsiTheme="minorHAnsi"/>
          <w:sz w:val="22"/>
          <w:szCs w:val="22"/>
          <w:lang w:val="de-DE"/>
        </w:rPr>
        <w:t xml:space="preserve"> und im </w:t>
      </w:r>
      <w:hyperlink r:id="rId37" w:tooltip="Membrantransport" w:history="1">
        <w:r w:rsidRPr="00985F62">
          <w:rPr>
            <w:rStyle w:val="Hyperlink"/>
            <w:rFonts w:asciiTheme="minorHAnsi" w:hAnsiTheme="minorHAnsi"/>
            <w:color w:val="auto"/>
            <w:sz w:val="22"/>
            <w:szCs w:val="22"/>
            <w:u w:val="none"/>
            <w:lang w:val="de-DE"/>
          </w:rPr>
          <w:t>Symport</w:t>
        </w:r>
      </w:hyperlink>
      <w:r w:rsidRPr="00985F62">
        <w:rPr>
          <w:rFonts w:asciiTheme="minorHAnsi" w:hAnsiTheme="minorHAnsi"/>
          <w:sz w:val="22"/>
          <w:szCs w:val="22"/>
          <w:lang w:val="de-DE"/>
        </w:rPr>
        <w:t xml:space="preserve"> mit </w:t>
      </w:r>
      <w:hyperlink r:id="rId38" w:tooltip="Glucose" w:history="1">
        <w:r w:rsidRPr="00985F62">
          <w:rPr>
            <w:rStyle w:val="Hyperlink"/>
            <w:rFonts w:asciiTheme="minorHAnsi" w:hAnsiTheme="minorHAnsi"/>
            <w:color w:val="auto"/>
            <w:sz w:val="22"/>
            <w:szCs w:val="22"/>
            <w:u w:val="none"/>
            <w:lang w:val="de-DE"/>
          </w:rPr>
          <w:t>Glucose</w:t>
        </w:r>
      </w:hyperlink>
      <w:r w:rsidRPr="00985F62">
        <w:rPr>
          <w:rFonts w:asciiTheme="minorHAnsi" w:hAnsiTheme="minorHAnsi"/>
          <w:sz w:val="22"/>
          <w:szCs w:val="22"/>
          <w:lang w:val="de-DE"/>
        </w:rPr>
        <w:t xml:space="preserve">, </w:t>
      </w:r>
      <w:hyperlink r:id="rId39" w:tooltip="Galactose" w:history="1">
        <w:r w:rsidRPr="00985F62">
          <w:rPr>
            <w:rStyle w:val="Hyperlink"/>
            <w:rFonts w:asciiTheme="minorHAnsi" w:hAnsiTheme="minorHAnsi"/>
            <w:color w:val="auto"/>
            <w:sz w:val="22"/>
            <w:szCs w:val="22"/>
            <w:u w:val="none"/>
            <w:lang w:val="de-DE"/>
          </w:rPr>
          <w:t>Galactose</w:t>
        </w:r>
      </w:hyperlink>
      <w:r w:rsidRPr="00985F62">
        <w:rPr>
          <w:rFonts w:asciiTheme="minorHAnsi" w:hAnsiTheme="minorHAnsi"/>
          <w:sz w:val="22"/>
          <w:szCs w:val="22"/>
          <w:lang w:val="de-DE"/>
        </w:rPr>
        <w:t xml:space="preserve">, </w:t>
      </w:r>
      <w:hyperlink r:id="rId40" w:tooltip="Aminosäuren" w:history="1">
        <w:r w:rsidRPr="00985F62">
          <w:rPr>
            <w:rStyle w:val="Hyperlink"/>
            <w:rFonts w:asciiTheme="minorHAnsi" w:hAnsiTheme="minorHAnsi"/>
            <w:color w:val="auto"/>
            <w:sz w:val="22"/>
            <w:szCs w:val="22"/>
            <w:u w:val="none"/>
            <w:lang w:val="de-DE"/>
          </w:rPr>
          <w:t>Aminosäuren</w:t>
        </w:r>
      </w:hyperlink>
      <w:r w:rsidRPr="00985F62">
        <w:rPr>
          <w:rFonts w:asciiTheme="minorHAnsi" w:hAnsiTheme="minorHAnsi"/>
          <w:sz w:val="22"/>
          <w:szCs w:val="22"/>
          <w:lang w:val="de-DE"/>
        </w:rPr>
        <w:t xml:space="preserve">, Phosphat- und Sulfationen, sowie </w:t>
      </w:r>
      <w:hyperlink r:id="rId41" w:tooltip="Carbonsäuren" w:history="1">
        <w:r w:rsidRPr="00985F62">
          <w:rPr>
            <w:rStyle w:val="Hyperlink"/>
            <w:rFonts w:asciiTheme="minorHAnsi" w:hAnsiTheme="minorHAnsi"/>
            <w:color w:val="auto"/>
            <w:sz w:val="22"/>
            <w:szCs w:val="22"/>
            <w:u w:val="none"/>
            <w:lang w:val="de-DE"/>
          </w:rPr>
          <w:t>Mono-</w:t>
        </w:r>
      </w:hyperlink>
      <w:r w:rsidRPr="00985F62">
        <w:rPr>
          <w:rFonts w:asciiTheme="minorHAnsi" w:hAnsiTheme="minorHAnsi"/>
          <w:sz w:val="22"/>
          <w:szCs w:val="22"/>
          <w:lang w:val="de-DE"/>
        </w:rPr>
        <w:t xml:space="preserve"> und </w:t>
      </w:r>
      <w:hyperlink r:id="rId42" w:tooltip="Dicarbonsäuren" w:history="1">
        <w:r w:rsidRPr="00985F62">
          <w:rPr>
            <w:rStyle w:val="Hyperlink"/>
            <w:rFonts w:asciiTheme="minorHAnsi" w:hAnsiTheme="minorHAnsi"/>
            <w:color w:val="auto"/>
            <w:sz w:val="22"/>
            <w:szCs w:val="22"/>
            <w:u w:val="none"/>
            <w:lang w:val="de-DE"/>
          </w:rPr>
          <w:t>Dicarbonsäuren</w:t>
        </w:r>
      </w:hyperlink>
      <w:r w:rsidRPr="00985F62">
        <w:rPr>
          <w:rFonts w:asciiTheme="minorHAnsi" w:hAnsiTheme="minorHAnsi"/>
          <w:sz w:val="22"/>
          <w:szCs w:val="22"/>
          <w:lang w:val="de-DE"/>
        </w:rPr>
        <w:t xml:space="preserve"> aufgenommen. An der basolateralen Seite der Tubuluszellen sorgt die Natrium-Kalium-Pumpe (3 Na</w:t>
      </w:r>
      <w:r w:rsidRPr="00985F62">
        <w:rPr>
          <w:rFonts w:asciiTheme="minorHAnsi" w:hAnsiTheme="minorHAnsi"/>
          <w:sz w:val="22"/>
          <w:szCs w:val="22"/>
          <w:vertAlign w:val="superscript"/>
          <w:lang w:val="de-DE"/>
        </w:rPr>
        <w:t>+</w:t>
      </w:r>
      <w:r w:rsidRPr="00985F62">
        <w:rPr>
          <w:rFonts w:asciiTheme="minorHAnsi" w:hAnsiTheme="minorHAnsi"/>
          <w:sz w:val="22"/>
          <w:szCs w:val="22"/>
          <w:lang w:val="de-DE"/>
        </w:rPr>
        <w:t>/ 2 K</w:t>
      </w:r>
      <w:r w:rsidRPr="00985F62">
        <w:rPr>
          <w:rFonts w:asciiTheme="minorHAnsi" w:hAnsiTheme="minorHAnsi"/>
          <w:sz w:val="22"/>
          <w:szCs w:val="22"/>
          <w:vertAlign w:val="superscript"/>
          <w:lang w:val="de-DE"/>
        </w:rPr>
        <w:t>+</w:t>
      </w:r>
      <w:r w:rsidRPr="00985F62">
        <w:rPr>
          <w:rFonts w:asciiTheme="minorHAnsi" w:hAnsiTheme="minorHAnsi"/>
          <w:sz w:val="22"/>
          <w:szCs w:val="22"/>
          <w:lang w:val="de-DE"/>
        </w:rPr>
        <w:t xml:space="preserve">-ATPase) dafür, dass der Konzentrationsgradient über der Zellmembran erhalten bleibt. Hydrogencarbonationen werden durch die Reaktion mit Protonen in Wasser und </w:t>
      </w:r>
      <w:hyperlink r:id="rId43" w:tooltip="Kohlenstoffdioxid" w:history="1">
        <w:r w:rsidRPr="00985F62">
          <w:rPr>
            <w:rStyle w:val="Hyperlink"/>
            <w:rFonts w:asciiTheme="minorHAnsi" w:hAnsiTheme="minorHAnsi"/>
            <w:color w:val="auto"/>
            <w:sz w:val="22"/>
            <w:szCs w:val="22"/>
            <w:u w:val="none"/>
            <w:lang w:val="de-DE"/>
          </w:rPr>
          <w:t>Kohlenstoffdioxid</w:t>
        </w:r>
      </w:hyperlink>
      <w:r w:rsidRPr="00985F62">
        <w:rPr>
          <w:rFonts w:asciiTheme="minorHAnsi" w:hAnsiTheme="minorHAnsi"/>
          <w:sz w:val="22"/>
          <w:szCs w:val="22"/>
          <w:lang w:val="de-DE"/>
        </w:rPr>
        <w:t xml:space="preserve"> zerlegt und können so passiv zurück diffundieren.</w:t>
      </w:r>
    </w:p>
    <w:p w14:paraId="593F67E8" w14:textId="77777777" w:rsidR="001675C0" w:rsidRPr="00985F62" w:rsidRDefault="001675C0" w:rsidP="001675C0">
      <w:pPr>
        <w:pStyle w:val="StandardWeb"/>
        <w:spacing w:after="0" w:line="240" w:lineRule="auto"/>
        <w:rPr>
          <w:rFonts w:asciiTheme="minorHAnsi" w:hAnsiTheme="minorHAnsi"/>
          <w:sz w:val="22"/>
          <w:szCs w:val="22"/>
          <w:lang w:val="de-DE"/>
        </w:rPr>
      </w:pPr>
    </w:p>
    <w:p w14:paraId="708203CC" w14:textId="77777777" w:rsidR="001675C0" w:rsidRPr="00985F62" w:rsidRDefault="001675C0" w:rsidP="001675C0">
      <w:pPr>
        <w:pStyle w:val="berschrift3"/>
        <w:spacing w:before="0" w:beforeAutospacing="0" w:after="0" w:afterAutospacing="0"/>
        <w:rPr>
          <w:rFonts w:asciiTheme="minorHAnsi" w:hAnsiTheme="minorHAnsi"/>
          <w:sz w:val="22"/>
          <w:szCs w:val="22"/>
          <w:lang w:val="de-DE"/>
        </w:rPr>
      </w:pPr>
      <w:r w:rsidRPr="00985F62">
        <w:rPr>
          <w:rStyle w:val="mw-headline"/>
          <w:rFonts w:asciiTheme="minorHAnsi" w:hAnsiTheme="minorHAnsi"/>
          <w:sz w:val="22"/>
          <w:szCs w:val="22"/>
          <w:lang w:val="de-DE"/>
        </w:rPr>
        <w:t>Glucoseresorption</w:t>
      </w:r>
    </w:p>
    <w:p w14:paraId="46D8A51E" w14:textId="77777777" w:rsidR="001675C0" w:rsidRPr="00985F62" w:rsidRDefault="001675C0" w:rsidP="001675C0">
      <w:pPr>
        <w:pStyle w:val="StandardWeb"/>
        <w:spacing w:after="0" w:line="240" w:lineRule="auto"/>
        <w:rPr>
          <w:rFonts w:asciiTheme="minorHAnsi" w:hAnsiTheme="minorHAnsi"/>
          <w:sz w:val="22"/>
          <w:szCs w:val="22"/>
          <w:lang w:val="de-DE"/>
        </w:rPr>
      </w:pPr>
      <w:r w:rsidRPr="00985F62">
        <w:rPr>
          <w:rFonts w:asciiTheme="minorHAnsi" w:hAnsiTheme="minorHAnsi"/>
          <w:sz w:val="22"/>
          <w:szCs w:val="22"/>
          <w:lang w:val="de-DE"/>
        </w:rPr>
        <w:t>In der gesunden Niere</w:t>
      </w:r>
      <w:r w:rsidR="00985F62" w:rsidRPr="00985F62">
        <w:rPr>
          <w:rFonts w:asciiTheme="minorHAnsi" w:hAnsiTheme="minorHAnsi"/>
          <w:sz w:val="22"/>
          <w:szCs w:val="22"/>
          <w:lang w:val="de-DE"/>
        </w:rPr>
        <w:t xml:space="preserve"> wird von den Tubuluszellen 100 </w:t>
      </w:r>
      <w:r w:rsidRPr="00985F62">
        <w:rPr>
          <w:rFonts w:asciiTheme="minorHAnsi" w:hAnsiTheme="minorHAnsi"/>
          <w:sz w:val="22"/>
          <w:szCs w:val="22"/>
          <w:lang w:val="de-DE"/>
        </w:rPr>
        <w:t xml:space="preserve">% der Glucose rückresorbiert. Dies geschieht vor allem mit Hilfe der Glucosetransporter </w:t>
      </w:r>
      <w:hyperlink r:id="rId44" w:tooltip="Natrium/Glucose-Cotransporter 2 (Seite nicht vorhanden)" w:history="1">
        <w:r w:rsidRPr="00985F62">
          <w:rPr>
            <w:rStyle w:val="Hyperlink"/>
            <w:rFonts w:asciiTheme="minorHAnsi" w:hAnsiTheme="minorHAnsi"/>
            <w:color w:val="auto"/>
            <w:sz w:val="22"/>
            <w:szCs w:val="22"/>
            <w:u w:val="none"/>
            <w:lang w:val="de-DE"/>
          </w:rPr>
          <w:t>SGLT-2</w:t>
        </w:r>
      </w:hyperlink>
      <w:r w:rsidRPr="00985F62">
        <w:rPr>
          <w:rFonts w:asciiTheme="minorHAnsi" w:hAnsiTheme="minorHAnsi"/>
          <w:sz w:val="22"/>
          <w:szCs w:val="22"/>
          <w:lang w:val="de-DE"/>
        </w:rPr>
        <w:t xml:space="preserve">. Im Gegensatz dazu ist im distalen Tubulus vor allem der Glucosetransporter </w:t>
      </w:r>
      <w:hyperlink r:id="rId45" w:tooltip="Natrium/Glucose-Cotransporter 1" w:history="1">
        <w:r w:rsidRPr="00985F62">
          <w:rPr>
            <w:rStyle w:val="Hyperlink"/>
            <w:rFonts w:asciiTheme="minorHAnsi" w:hAnsiTheme="minorHAnsi"/>
            <w:color w:val="auto"/>
            <w:sz w:val="22"/>
            <w:szCs w:val="22"/>
            <w:u w:val="none"/>
            <w:lang w:val="de-DE"/>
          </w:rPr>
          <w:t>SGLT-1</w:t>
        </w:r>
      </w:hyperlink>
      <w:r w:rsidRPr="00985F62">
        <w:rPr>
          <w:rFonts w:asciiTheme="minorHAnsi" w:hAnsiTheme="minorHAnsi"/>
          <w:sz w:val="22"/>
          <w:szCs w:val="22"/>
          <w:lang w:val="de-DE"/>
        </w:rPr>
        <w:t xml:space="preserve"> an der Zellmembran </w:t>
      </w:r>
      <w:hyperlink r:id="rId46" w:tooltip="Genexpression" w:history="1">
        <w:r w:rsidRPr="00985F62">
          <w:rPr>
            <w:rStyle w:val="Hyperlink"/>
            <w:rFonts w:asciiTheme="minorHAnsi" w:hAnsiTheme="minorHAnsi"/>
            <w:color w:val="auto"/>
            <w:sz w:val="22"/>
            <w:szCs w:val="22"/>
            <w:u w:val="none"/>
            <w:lang w:val="de-DE"/>
          </w:rPr>
          <w:t>exprimiert</w:t>
        </w:r>
      </w:hyperlink>
      <w:r w:rsidRPr="00985F62">
        <w:rPr>
          <w:rFonts w:asciiTheme="minorHAnsi" w:hAnsiTheme="minorHAnsi"/>
          <w:sz w:val="22"/>
          <w:szCs w:val="22"/>
          <w:lang w:val="de-DE"/>
        </w:rPr>
        <w:t xml:space="preserve">. Die Glucosetransporter </w:t>
      </w:r>
      <w:hyperlink r:id="rId47" w:tooltip="GLUT-2" w:history="1">
        <w:r w:rsidRPr="00985F62">
          <w:rPr>
            <w:rStyle w:val="Hyperlink"/>
            <w:rFonts w:asciiTheme="minorHAnsi" w:hAnsiTheme="minorHAnsi"/>
            <w:color w:val="auto"/>
            <w:sz w:val="22"/>
            <w:szCs w:val="22"/>
            <w:u w:val="none"/>
            <w:lang w:val="de-DE"/>
          </w:rPr>
          <w:t>GLUT-2</w:t>
        </w:r>
      </w:hyperlink>
      <w:r w:rsidRPr="00985F62">
        <w:rPr>
          <w:rFonts w:asciiTheme="minorHAnsi" w:hAnsiTheme="minorHAnsi"/>
          <w:sz w:val="22"/>
          <w:szCs w:val="22"/>
          <w:lang w:val="de-DE"/>
        </w:rPr>
        <w:t xml:space="preserve"> und </w:t>
      </w:r>
      <w:hyperlink r:id="rId48" w:tooltip="GLUT-5" w:history="1">
        <w:r w:rsidRPr="00985F62">
          <w:rPr>
            <w:rStyle w:val="Hyperlink"/>
            <w:rFonts w:asciiTheme="minorHAnsi" w:hAnsiTheme="minorHAnsi"/>
            <w:color w:val="auto"/>
            <w:sz w:val="22"/>
            <w:szCs w:val="22"/>
            <w:u w:val="none"/>
            <w:lang w:val="de-DE"/>
          </w:rPr>
          <w:t>GLUT-5</w:t>
        </w:r>
      </w:hyperlink>
      <w:r w:rsidRPr="00985F62">
        <w:rPr>
          <w:rFonts w:asciiTheme="minorHAnsi" w:hAnsiTheme="minorHAnsi"/>
          <w:sz w:val="22"/>
          <w:szCs w:val="22"/>
          <w:lang w:val="de-DE"/>
        </w:rPr>
        <w:t xml:space="preserve"> spielen eine untergeordnete Rolle.</w:t>
      </w:r>
    </w:p>
    <w:p w14:paraId="00433B0E" w14:textId="77777777" w:rsidR="001675C0" w:rsidRPr="00985F62" w:rsidRDefault="001675C0" w:rsidP="001675C0">
      <w:pPr>
        <w:pStyle w:val="StandardWeb"/>
        <w:spacing w:after="0" w:line="240" w:lineRule="auto"/>
        <w:rPr>
          <w:rFonts w:asciiTheme="minorHAnsi" w:hAnsiTheme="minorHAnsi"/>
          <w:sz w:val="22"/>
          <w:szCs w:val="22"/>
          <w:lang w:val="de-DE"/>
        </w:rPr>
      </w:pPr>
    </w:p>
    <w:p w14:paraId="2E3D42AE" w14:textId="77777777" w:rsidR="001675C0" w:rsidRPr="00985F62" w:rsidRDefault="001675C0" w:rsidP="001675C0">
      <w:pPr>
        <w:pStyle w:val="berschrift3"/>
        <w:spacing w:before="0" w:beforeAutospacing="0" w:after="0" w:afterAutospacing="0"/>
        <w:rPr>
          <w:rFonts w:asciiTheme="minorHAnsi" w:hAnsiTheme="minorHAnsi"/>
          <w:sz w:val="22"/>
          <w:szCs w:val="22"/>
          <w:lang w:val="de-DE"/>
        </w:rPr>
      </w:pPr>
      <w:r w:rsidRPr="00985F62">
        <w:rPr>
          <w:rStyle w:val="mw-headline"/>
          <w:rFonts w:asciiTheme="minorHAnsi" w:hAnsiTheme="minorHAnsi"/>
          <w:sz w:val="22"/>
          <w:szCs w:val="22"/>
          <w:lang w:val="de-DE"/>
        </w:rPr>
        <w:t>Resorption von Aminosäuren, Peptiden und kleinen Proteinen</w:t>
      </w:r>
    </w:p>
    <w:p w14:paraId="7F33E8B2" w14:textId="77777777" w:rsidR="001675C0" w:rsidRPr="00985F62" w:rsidRDefault="001675C0" w:rsidP="001675C0">
      <w:pPr>
        <w:pStyle w:val="StandardWeb"/>
        <w:spacing w:after="0" w:line="240" w:lineRule="auto"/>
        <w:rPr>
          <w:rFonts w:asciiTheme="minorHAnsi" w:hAnsiTheme="minorHAnsi"/>
          <w:sz w:val="22"/>
          <w:szCs w:val="22"/>
          <w:lang w:val="de-DE"/>
        </w:rPr>
      </w:pPr>
      <w:r w:rsidRPr="00985F62">
        <w:rPr>
          <w:rFonts w:asciiTheme="minorHAnsi" w:hAnsiTheme="minorHAnsi"/>
          <w:sz w:val="22"/>
          <w:szCs w:val="22"/>
          <w:lang w:val="de-DE"/>
        </w:rPr>
        <w:t xml:space="preserve">Auch Peptide oder Proteine, die klein genug sind durch das </w:t>
      </w:r>
      <w:hyperlink r:id="rId49" w:tooltip="Glomerulum" w:history="1">
        <w:r w:rsidRPr="00985F62">
          <w:rPr>
            <w:rStyle w:val="Hyperlink"/>
            <w:rFonts w:asciiTheme="minorHAnsi" w:hAnsiTheme="minorHAnsi"/>
            <w:color w:val="auto"/>
            <w:sz w:val="22"/>
            <w:szCs w:val="22"/>
            <w:u w:val="none"/>
            <w:lang w:val="de-DE"/>
          </w:rPr>
          <w:t>Glomerulum</w:t>
        </w:r>
      </w:hyperlink>
      <w:r w:rsidRPr="00985F62">
        <w:rPr>
          <w:rFonts w:asciiTheme="minorHAnsi" w:hAnsiTheme="minorHAnsi"/>
          <w:sz w:val="22"/>
          <w:szCs w:val="22"/>
          <w:lang w:val="de-DE"/>
        </w:rPr>
        <w:t xml:space="preserve"> hindurch in den Primärharn zu gelangen, werden von den Tubuluszellen aufgenommen und komplett katabolisiert. Ein Beispiel hierfür ist das aus 120 </w:t>
      </w:r>
      <w:hyperlink r:id="rId50" w:tooltip="Aminosäuren" w:history="1">
        <w:r w:rsidRPr="00985F62">
          <w:rPr>
            <w:rStyle w:val="Hyperlink"/>
            <w:rFonts w:asciiTheme="minorHAnsi" w:hAnsiTheme="minorHAnsi"/>
            <w:color w:val="auto"/>
            <w:sz w:val="22"/>
            <w:szCs w:val="22"/>
            <w:u w:val="none"/>
            <w:lang w:val="de-DE"/>
          </w:rPr>
          <w:t>Aminosäuren</w:t>
        </w:r>
      </w:hyperlink>
      <w:r w:rsidRPr="00985F62">
        <w:rPr>
          <w:rFonts w:asciiTheme="minorHAnsi" w:hAnsiTheme="minorHAnsi"/>
          <w:sz w:val="22"/>
          <w:szCs w:val="22"/>
          <w:lang w:val="de-DE"/>
        </w:rPr>
        <w:t xml:space="preserve"> aufgebaute </w:t>
      </w:r>
      <w:hyperlink r:id="rId51" w:tooltip="Cystatin C" w:history="1">
        <w:r w:rsidRPr="00985F62">
          <w:rPr>
            <w:rStyle w:val="Hyperlink"/>
            <w:rFonts w:asciiTheme="minorHAnsi" w:hAnsiTheme="minorHAnsi"/>
            <w:color w:val="auto"/>
            <w:sz w:val="22"/>
            <w:szCs w:val="22"/>
            <w:u w:val="none"/>
            <w:lang w:val="de-DE"/>
          </w:rPr>
          <w:t>Cystatin C</w:t>
        </w:r>
      </w:hyperlink>
      <w:r w:rsidRPr="00985F62">
        <w:rPr>
          <w:rFonts w:asciiTheme="minorHAnsi" w:hAnsiTheme="minorHAnsi"/>
          <w:sz w:val="22"/>
          <w:szCs w:val="22"/>
          <w:lang w:val="de-DE"/>
        </w:rPr>
        <w:t>.</w:t>
      </w:r>
    </w:p>
    <w:p w14:paraId="0572FAF1" w14:textId="77777777" w:rsidR="001675C0" w:rsidRPr="00985F62" w:rsidRDefault="001675C0" w:rsidP="001675C0">
      <w:pPr>
        <w:pStyle w:val="StandardWeb"/>
        <w:spacing w:after="0" w:line="240" w:lineRule="auto"/>
        <w:rPr>
          <w:rFonts w:asciiTheme="minorHAnsi" w:hAnsiTheme="minorHAnsi"/>
          <w:sz w:val="22"/>
          <w:szCs w:val="22"/>
          <w:lang w:val="de-DE"/>
        </w:rPr>
      </w:pPr>
      <w:r w:rsidRPr="00985F62">
        <w:rPr>
          <w:rFonts w:asciiTheme="minorHAnsi" w:hAnsiTheme="minorHAnsi"/>
          <w:sz w:val="22"/>
          <w:szCs w:val="22"/>
          <w:lang w:val="de-DE"/>
        </w:rPr>
        <w:t xml:space="preserve">Die </w:t>
      </w:r>
      <w:hyperlink r:id="rId52" w:tooltip="Membranprotein" w:history="1">
        <w:r w:rsidRPr="00985F62">
          <w:rPr>
            <w:rStyle w:val="Hyperlink"/>
            <w:rFonts w:asciiTheme="minorHAnsi" w:hAnsiTheme="minorHAnsi"/>
            <w:color w:val="auto"/>
            <w:sz w:val="22"/>
            <w:szCs w:val="22"/>
            <w:u w:val="none"/>
            <w:lang w:val="de-DE"/>
          </w:rPr>
          <w:t>Membranproteine</w:t>
        </w:r>
      </w:hyperlink>
      <w:r w:rsidRPr="00985F62">
        <w:rPr>
          <w:rFonts w:asciiTheme="minorHAnsi" w:hAnsiTheme="minorHAnsi"/>
          <w:sz w:val="22"/>
          <w:szCs w:val="22"/>
          <w:lang w:val="de-DE"/>
        </w:rPr>
        <w:t xml:space="preserve"> </w:t>
      </w:r>
      <w:hyperlink r:id="rId53" w:tooltip="Megalin" w:history="1">
        <w:r w:rsidRPr="00985F62">
          <w:rPr>
            <w:rStyle w:val="Hyperlink"/>
            <w:rFonts w:asciiTheme="minorHAnsi" w:hAnsiTheme="minorHAnsi"/>
            <w:color w:val="auto"/>
            <w:sz w:val="22"/>
            <w:szCs w:val="22"/>
            <w:u w:val="none"/>
            <w:lang w:val="de-DE"/>
          </w:rPr>
          <w:t>Megalin</w:t>
        </w:r>
      </w:hyperlink>
      <w:r w:rsidRPr="00985F62">
        <w:rPr>
          <w:rFonts w:asciiTheme="minorHAnsi" w:hAnsiTheme="minorHAnsi"/>
          <w:sz w:val="22"/>
          <w:szCs w:val="22"/>
          <w:lang w:val="de-DE"/>
        </w:rPr>
        <w:t xml:space="preserve"> und </w:t>
      </w:r>
      <w:hyperlink r:id="rId54" w:tooltip="Cubilin" w:history="1">
        <w:r w:rsidRPr="00985F62">
          <w:rPr>
            <w:rStyle w:val="Hyperlink"/>
            <w:rFonts w:asciiTheme="minorHAnsi" w:hAnsiTheme="minorHAnsi"/>
            <w:color w:val="auto"/>
            <w:sz w:val="22"/>
            <w:szCs w:val="22"/>
            <w:u w:val="none"/>
            <w:lang w:val="de-DE"/>
          </w:rPr>
          <w:t>Cubilin</w:t>
        </w:r>
      </w:hyperlink>
      <w:r w:rsidRPr="00985F62">
        <w:rPr>
          <w:rFonts w:asciiTheme="minorHAnsi" w:hAnsiTheme="minorHAnsi"/>
          <w:sz w:val="22"/>
          <w:szCs w:val="22"/>
          <w:lang w:val="de-DE"/>
        </w:rPr>
        <w:t xml:space="preserve"> der proximalen Tubuluszellen spielen bei der Endozytose von Peptiden und Proteinen eine wichtige Rolle. Beide werden an der </w:t>
      </w:r>
      <w:hyperlink r:id="rId55" w:tooltip="Anatomische Lage- und Richtungsbezeichnungen" w:history="1">
        <w:r w:rsidRPr="00985F62">
          <w:rPr>
            <w:rStyle w:val="Hyperlink"/>
            <w:rFonts w:asciiTheme="minorHAnsi" w:hAnsiTheme="minorHAnsi"/>
            <w:color w:val="auto"/>
            <w:sz w:val="22"/>
            <w:szCs w:val="22"/>
            <w:u w:val="none"/>
            <w:lang w:val="de-DE"/>
          </w:rPr>
          <w:t>apikalen</w:t>
        </w:r>
      </w:hyperlink>
      <w:r w:rsidRPr="00985F62">
        <w:rPr>
          <w:rFonts w:asciiTheme="minorHAnsi" w:hAnsiTheme="minorHAnsi"/>
          <w:sz w:val="22"/>
          <w:szCs w:val="22"/>
          <w:lang w:val="de-DE"/>
        </w:rPr>
        <w:t xml:space="preserve">, zum Primärharn ausgerichteten, Seite exprimiert. Nach der endozytotischen Aufnahme werden die Proteine zur </w:t>
      </w:r>
      <w:hyperlink r:id="rId56" w:tooltip="Proteolyse" w:history="1">
        <w:r w:rsidRPr="00985F62">
          <w:rPr>
            <w:rStyle w:val="Hyperlink"/>
            <w:rFonts w:asciiTheme="minorHAnsi" w:hAnsiTheme="minorHAnsi"/>
            <w:color w:val="auto"/>
            <w:sz w:val="22"/>
            <w:szCs w:val="22"/>
            <w:u w:val="none"/>
            <w:lang w:val="de-DE"/>
          </w:rPr>
          <w:t>Proteolyse</w:t>
        </w:r>
      </w:hyperlink>
      <w:r w:rsidRPr="00985F62">
        <w:rPr>
          <w:rFonts w:asciiTheme="minorHAnsi" w:hAnsiTheme="minorHAnsi"/>
          <w:sz w:val="22"/>
          <w:szCs w:val="22"/>
          <w:lang w:val="de-DE"/>
        </w:rPr>
        <w:t xml:space="preserve"> (Abbau) in </w:t>
      </w:r>
      <w:hyperlink r:id="rId57" w:tooltip="Lysosom" w:history="1">
        <w:r w:rsidRPr="00985F62">
          <w:rPr>
            <w:rStyle w:val="Hyperlink"/>
            <w:rFonts w:asciiTheme="minorHAnsi" w:hAnsiTheme="minorHAnsi"/>
            <w:color w:val="auto"/>
            <w:sz w:val="22"/>
            <w:szCs w:val="22"/>
            <w:u w:val="none"/>
            <w:lang w:val="de-DE"/>
          </w:rPr>
          <w:t>Lysosome</w:t>
        </w:r>
      </w:hyperlink>
      <w:r w:rsidRPr="00985F62">
        <w:rPr>
          <w:rFonts w:asciiTheme="minorHAnsi" w:hAnsiTheme="minorHAnsi"/>
          <w:sz w:val="22"/>
          <w:szCs w:val="22"/>
          <w:lang w:val="de-DE"/>
        </w:rPr>
        <w:t xml:space="preserve"> und die beiden Rezeptoren wieder an die apikale Seite der Zellmembran transportiert (Rezeptor-Recycling). Ein transzellulärer Proteintransport findet dagegen kaum statt. Die Resorption von Proteinen im proximalen Tubulus ist in einer gesunden Niere sehr effizient, so dass der Endharn des Menschen frei von Proteinen ist.</w:t>
      </w:r>
    </w:p>
    <w:p w14:paraId="27118FD9" w14:textId="77777777" w:rsidR="001675C0" w:rsidRPr="00985F62" w:rsidRDefault="001675C0" w:rsidP="001675C0">
      <w:pPr>
        <w:pStyle w:val="StandardWeb"/>
        <w:spacing w:after="0" w:line="240" w:lineRule="auto"/>
        <w:rPr>
          <w:rFonts w:asciiTheme="minorHAnsi" w:hAnsiTheme="minorHAnsi"/>
          <w:sz w:val="22"/>
          <w:szCs w:val="22"/>
          <w:lang w:val="de-DE"/>
        </w:rPr>
      </w:pPr>
      <w:r w:rsidRPr="00985F62">
        <w:rPr>
          <w:rFonts w:asciiTheme="minorHAnsi" w:hAnsiTheme="minorHAnsi"/>
          <w:sz w:val="22"/>
          <w:szCs w:val="22"/>
          <w:lang w:val="de-DE"/>
        </w:rPr>
        <w:t xml:space="preserve">Der Megalin-Cubilin-Komplex kann nicht nur Aminosäuren, Peptide und Proteine resorbieren, sondern eine Vielzahl anderer essenzieller Verbindungen, wie beispielsweise </w:t>
      </w:r>
      <w:hyperlink r:id="rId58" w:tooltip="Vitamine" w:history="1">
        <w:r w:rsidRPr="00985F62">
          <w:rPr>
            <w:rStyle w:val="Hyperlink"/>
            <w:rFonts w:asciiTheme="minorHAnsi" w:hAnsiTheme="minorHAnsi"/>
            <w:color w:val="auto"/>
            <w:sz w:val="22"/>
            <w:szCs w:val="22"/>
            <w:u w:val="none"/>
            <w:lang w:val="de-DE"/>
          </w:rPr>
          <w:t>Vitamine</w:t>
        </w:r>
      </w:hyperlink>
      <w:r w:rsidRPr="00985F62">
        <w:rPr>
          <w:rFonts w:asciiTheme="minorHAnsi" w:hAnsiTheme="minorHAnsi"/>
          <w:sz w:val="22"/>
          <w:szCs w:val="22"/>
          <w:lang w:val="de-DE"/>
        </w:rPr>
        <w:t xml:space="preserve"> oder an </w:t>
      </w:r>
      <w:hyperlink r:id="rId59" w:tooltip="Plasmaprotein" w:history="1">
        <w:r w:rsidRPr="00985F62">
          <w:rPr>
            <w:rStyle w:val="Hyperlink"/>
            <w:rFonts w:asciiTheme="minorHAnsi" w:hAnsiTheme="minorHAnsi"/>
            <w:color w:val="auto"/>
            <w:sz w:val="22"/>
            <w:szCs w:val="22"/>
            <w:u w:val="none"/>
            <w:lang w:val="de-DE"/>
          </w:rPr>
          <w:t>Plasmaproteine</w:t>
        </w:r>
      </w:hyperlink>
      <w:r w:rsidRPr="00985F62">
        <w:rPr>
          <w:rFonts w:asciiTheme="minorHAnsi" w:hAnsiTheme="minorHAnsi"/>
          <w:sz w:val="22"/>
          <w:szCs w:val="22"/>
          <w:lang w:val="de-DE"/>
        </w:rPr>
        <w:t xml:space="preserve"> gebundene </w:t>
      </w:r>
      <w:hyperlink r:id="rId60" w:tooltip="Spurenelement" w:history="1">
        <w:r w:rsidRPr="00985F62">
          <w:rPr>
            <w:rStyle w:val="Hyperlink"/>
            <w:rFonts w:asciiTheme="minorHAnsi" w:hAnsiTheme="minorHAnsi"/>
            <w:color w:val="auto"/>
            <w:sz w:val="22"/>
            <w:szCs w:val="22"/>
            <w:u w:val="none"/>
            <w:lang w:val="de-DE"/>
          </w:rPr>
          <w:t>Spurenelemente</w:t>
        </w:r>
      </w:hyperlink>
      <w:r w:rsidRPr="00985F62">
        <w:rPr>
          <w:rFonts w:asciiTheme="minorHAnsi" w:hAnsiTheme="minorHAnsi"/>
          <w:sz w:val="22"/>
          <w:szCs w:val="22"/>
          <w:lang w:val="de-DE"/>
        </w:rPr>
        <w:t>.</w:t>
      </w:r>
    </w:p>
    <w:p w14:paraId="67C83652" w14:textId="77777777" w:rsidR="001675C0" w:rsidRPr="00985F62" w:rsidRDefault="001675C0" w:rsidP="001675C0">
      <w:pPr>
        <w:spacing w:after="0" w:line="240" w:lineRule="auto"/>
      </w:pPr>
    </w:p>
    <w:p w14:paraId="06D8D45D" w14:textId="77777777" w:rsidR="001675C0" w:rsidRPr="00985F62" w:rsidRDefault="001675C0" w:rsidP="001675C0">
      <w:pPr>
        <w:spacing w:after="0" w:line="240" w:lineRule="auto"/>
      </w:pPr>
    </w:p>
    <w:p w14:paraId="4757AED4" w14:textId="77777777" w:rsidR="00775A4F" w:rsidRDefault="00775A4F" w:rsidP="00775A4F">
      <w:pPr>
        <w:spacing w:after="0"/>
        <w:rPr>
          <w:sz w:val="24"/>
          <w:szCs w:val="24"/>
        </w:rPr>
      </w:pPr>
      <w:r>
        <w:rPr>
          <w:noProof/>
          <w:sz w:val="24"/>
          <w:szCs w:val="24"/>
          <w:lang w:val="en-US"/>
        </w:rPr>
        <w:drawing>
          <wp:inline distT="0" distB="0" distL="0" distR="0">
            <wp:extent cx="4344006" cy="2600688"/>
            <wp:effectExtent l="0" t="0" r="0" b="9525"/>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380A6F9.tmp"/>
                    <pic:cNvPicPr/>
                  </pic:nvPicPr>
                  <pic:blipFill>
                    <a:blip r:embed="rId61">
                      <a:extLst>
                        <a:ext uri="{28A0092B-C50C-407E-A947-70E740481C1C}">
                          <a14:useLocalDpi xmlns:a14="http://schemas.microsoft.com/office/drawing/2010/main" val="0"/>
                        </a:ext>
                      </a:extLst>
                    </a:blip>
                    <a:stretch>
                      <a:fillRect/>
                    </a:stretch>
                  </pic:blipFill>
                  <pic:spPr>
                    <a:xfrm>
                      <a:off x="0" y="0"/>
                      <a:ext cx="4344006" cy="2600688"/>
                    </a:xfrm>
                    <a:prstGeom prst="rect">
                      <a:avLst/>
                    </a:prstGeom>
                  </pic:spPr>
                </pic:pic>
              </a:graphicData>
            </a:graphic>
          </wp:inline>
        </w:drawing>
      </w:r>
    </w:p>
    <w:p w14:paraId="09DAD9F4" w14:textId="77777777" w:rsidR="00775A4F" w:rsidRDefault="00775A4F" w:rsidP="00775A4F">
      <w:pPr>
        <w:spacing w:after="0"/>
        <w:rPr>
          <w:sz w:val="24"/>
          <w:szCs w:val="24"/>
        </w:rPr>
      </w:pPr>
      <w:r>
        <w:rPr>
          <w:noProof/>
          <w:sz w:val="24"/>
          <w:szCs w:val="24"/>
          <w:lang w:val="en-US"/>
        </w:rPr>
        <w:drawing>
          <wp:inline distT="0" distB="0" distL="0" distR="0">
            <wp:extent cx="4153480" cy="1543265"/>
            <wp:effectExtent l="0" t="0" r="0" b="0"/>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3806F3E.tmp"/>
                    <pic:cNvPicPr/>
                  </pic:nvPicPr>
                  <pic:blipFill>
                    <a:blip r:embed="rId62">
                      <a:extLst>
                        <a:ext uri="{28A0092B-C50C-407E-A947-70E740481C1C}">
                          <a14:useLocalDpi xmlns:a14="http://schemas.microsoft.com/office/drawing/2010/main" val="0"/>
                        </a:ext>
                      </a:extLst>
                    </a:blip>
                    <a:stretch>
                      <a:fillRect/>
                    </a:stretch>
                  </pic:blipFill>
                  <pic:spPr>
                    <a:xfrm>
                      <a:off x="0" y="0"/>
                      <a:ext cx="4153480" cy="1543265"/>
                    </a:xfrm>
                    <a:prstGeom prst="rect">
                      <a:avLst/>
                    </a:prstGeom>
                  </pic:spPr>
                </pic:pic>
              </a:graphicData>
            </a:graphic>
          </wp:inline>
        </w:drawing>
      </w:r>
    </w:p>
    <w:p w14:paraId="2BE81E70" w14:textId="77777777" w:rsidR="00775A4F" w:rsidRDefault="00775A4F" w:rsidP="00775A4F">
      <w:pPr>
        <w:spacing w:after="0"/>
        <w:rPr>
          <w:sz w:val="24"/>
          <w:szCs w:val="24"/>
        </w:rPr>
      </w:pPr>
    </w:p>
    <w:p w14:paraId="02E47C64" w14:textId="77777777" w:rsidR="00775A4F" w:rsidRPr="00CB2148" w:rsidRDefault="00775A4F" w:rsidP="00775A4F">
      <w:pPr>
        <w:spacing w:after="0"/>
        <w:rPr>
          <w:b/>
          <w:sz w:val="24"/>
          <w:szCs w:val="24"/>
        </w:rPr>
      </w:pPr>
      <w:r w:rsidRPr="00775A4F">
        <w:rPr>
          <w:b/>
          <w:sz w:val="24"/>
          <w:szCs w:val="24"/>
        </w:rPr>
        <w:t>Niere II</w:t>
      </w:r>
    </w:p>
    <w:p w14:paraId="1284C9AB" w14:textId="77777777" w:rsidR="00775A4F" w:rsidRPr="00D73DCE" w:rsidRDefault="00775A4F" w:rsidP="00775A4F">
      <w:pPr>
        <w:spacing w:after="0"/>
        <w:rPr>
          <w:color w:val="C45911" w:themeColor="accent2" w:themeShade="BF"/>
          <w:sz w:val="26"/>
          <w:szCs w:val="26"/>
        </w:rPr>
      </w:pPr>
      <w:r>
        <w:rPr>
          <w:color w:val="C45911" w:themeColor="accent2" w:themeShade="BF"/>
          <w:sz w:val="26"/>
          <w:szCs w:val="26"/>
        </w:rPr>
        <w:t>Clearence von im Blutplasma gelösten Stoffen durch die Niere zu berechnen.</w:t>
      </w:r>
    </w:p>
    <w:p w14:paraId="0B396797" w14:textId="77777777" w:rsidR="00775A4F" w:rsidRPr="00AE0D9E" w:rsidRDefault="00A9206C" w:rsidP="00775A4F">
      <w:pPr>
        <w:spacing w:after="0"/>
        <w:rPr>
          <w:b/>
        </w:rPr>
      </w:pPr>
      <w:r w:rsidRPr="00AE0D9E">
        <w:rPr>
          <w:b/>
        </w:rPr>
        <w:t>Insulin (Kreatinin)-Clearance</w:t>
      </w:r>
    </w:p>
    <w:p w14:paraId="3447B465" w14:textId="77777777" w:rsidR="00A9206C" w:rsidRPr="00A9206C" w:rsidRDefault="00A9206C" w:rsidP="00A9206C">
      <w:pPr>
        <w:pStyle w:val="Listenabsatz"/>
        <w:numPr>
          <w:ilvl w:val="0"/>
          <w:numId w:val="10"/>
        </w:numPr>
        <w:autoSpaceDE w:val="0"/>
        <w:autoSpaceDN w:val="0"/>
        <w:adjustRightInd w:val="0"/>
        <w:spacing w:after="0" w:line="240" w:lineRule="auto"/>
        <w:rPr>
          <w:rFonts w:cs="Arial"/>
        </w:rPr>
      </w:pPr>
      <w:r w:rsidRPr="00A9206C">
        <w:rPr>
          <w:rFonts w:cs="Arial"/>
        </w:rPr>
        <w:t xml:space="preserve">Clearance beschreibt das Plasmavolumen (in ml), das von einem Stoff in einer Minute durch die Nierenfunktion „geklärt“ </w:t>
      </w:r>
      <w:r>
        <w:rPr>
          <w:rFonts w:cs="Arial"/>
        </w:rPr>
        <w:t>wird</w:t>
      </w:r>
    </w:p>
    <w:p w14:paraId="3DE0446F" w14:textId="77777777" w:rsidR="00A9206C" w:rsidRPr="00A9206C" w:rsidRDefault="00A9206C" w:rsidP="00A9206C">
      <w:pPr>
        <w:pStyle w:val="Listenabsatz"/>
        <w:numPr>
          <w:ilvl w:val="0"/>
          <w:numId w:val="10"/>
        </w:numPr>
        <w:autoSpaceDE w:val="0"/>
        <w:autoSpaceDN w:val="0"/>
        <w:adjustRightInd w:val="0"/>
        <w:spacing w:after="0" w:line="240" w:lineRule="auto"/>
        <w:rPr>
          <w:rFonts w:cs="Arial"/>
        </w:rPr>
      </w:pPr>
      <w:r w:rsidRPr="00A9206C">
        <w:rPr>
          <w:rFonts w:cs="Arial"/>
        </w:rPr>
        <w:t>Wird ein Stoff frei filtiert und im Tubulussystem weder reabsorbiert noch sezerniert (wie Inulin und mit Abstrichen auch Kreatinin), so spiegelt die Clearance dieses Stoffes die glomeuläre Filtrationsrate (</w:t>
      </w:r>
      <w:r w:rsidRPr="00A9206C">
        <w:rPr>
          <w:rFonts w:cs="Arial"/>
          <w:bCs/>
        </w:rPr>
        <w:t>GFR</w:t>
      </w:r>
      <w:r w:rsidRPr="00A9206C">
        <w:rPr>
          <w:rFonts w:cs="Arial"/>
        </w:rPr>
        <w:t xml:space="preserve">) wider (normalerweise </w:t>
      </w:r>
      <w:r>
        <w:rPr>
          <w:rFonts w:cs="Arial"/>
        </w:rPr>
        <w:t>125 ml/min)</w:t>
      </w:r>
    </w:p>
    <w:p w14:paraId="5FAE2393" w14:textId="77777777" w:rsidR="00A9206C" w:rsidRDefault="00A9206C" w:rsidP="00A9206C">
      <w:pPr>
        <w:pStyle w:val="Listenabsatz"/>
        <w:numPr>
          <w:ilvl w:val="0"/>
          <w:numId w:val="10"/>
        </w:numPr>
        <w:autoSpaceDE w:val="0"/>
        <w:autoSpaceDN w:val="0"/>
        <w:adjustRightInd w:val="0"/>
        <w:spacing w:after="0" w:line="240" w:lineRule="auto"/>
        <w:rPr>
          <w:rFonts w:cs="Arial"/>
        </w:rPr>
      </w:pPr>
      <w:r>
        <w:rPr>
          <w:rFonts w:cs="Arial"/>
        </w:rPr>
        <w:t>Kreatinin ist ein Abbauprodukt des Mussekelkreatinphosphats</w:t>
      </w:r>
    </w:p>
    <w:p w14:paraId="3697A2A8" w14:textId="77777777" w:rsidR="00153AA2" w:rsidRPr="00A9206C" w:rsidRDefault="00153AA2" w:rsidP="00A9206C">
      <w:pPr>
        <w:pStyle w:val="Listenabsatz"/>
        <w:numPr>
          <w:ilvl w:val="0"/>
          <w:numId w:val="10"/>
        </w:numPr>
        <w:autoSpaceDE w:val="0"/>
        <w:autoSpaceDN w:val="0"/>
        <w:adjustRightInd w:val="0"/>
        <w:spacing w:after="0" w:line="240" w:lineRule="auto"/>
        <w:rPr>
          <w:rFonts w:cs="Arial"/>
        </w:rPr>
      </w:pPr>
      <w:r>
        <w:rPr>
          <w:rFonts w:cs="Arial"/>
        </w:rPr>
        <w:t>Plasma-Kreatini</w:t>
      </w:r>
      <w:r w:rsidR="00257324">
        <w:rPr>
          <w:rFonts w:cs="Arial"/>
        </w:rPr>
        <w:t>n</w:t>
      </w:r>
      <w:r>
        <w:rPr>
          <w:rFonts w:cs="Arial"/>
        </w:rPr>
        <w:t xml:space="preserve"> spiegelt die GFR wider</w:t>
      </w:r>
    </w:p>
    <w:p w14:paraId="7247E237" w14:textId="77777777" w:rsidR="00775A4F" w:rsidRPr="00AE0D9E" w:rsidRDefault="00257324" w:rsidP="00775A4F">
      <w:pPr>
        <w:spacing w:after="0"/>
        <w:rPr>
          <w:b/>
        </w:rPr>
      </w:pPr>
      <w:r w:rsidRPr="00AE0D9E">
        <w:rPr>
          <w:b/>
        </w:rPr>
        <w:t>PAH-Clearance</w:t>
      </w:r>
    </w:p>
    <w:p w14:paraId="4ABE5A5B" w14:textId="77777777" w:rsidR="00A9206C" w:rsidRPr="00AE0D9E" w:rsidRDefault="00257324" w:rsidP="00AE0D9E">
      <w:pPr>
        <w:autoSpaceDE w:val="0"/>
        <w:autoSpaceDN w:val="0"/>
        <w:adjustRightInd w:val="0"/>
        <w:spacing w:after="0" w:line="240" w:lineRule="auto"/>
        <w:ind w:left="708"/>
        <w:rPr>
          <w:rFonts w:cs="Arial"/>
        </w:rPr>
      </w:pPr>
      <w:r w:rsidRPr="00257324">
        <w:rPr>
          <w:rFonts w:cs="Arial"/>
        </w:rPr>
        <w:t>Die Clearance eines Stoffes wie Paraaminohippurat (PAH), welcher frei filtriert wird</w:t>
      </w:r>
      <w:r>
        <w:rPr>
          <w:rFonts w:cs="Arial"/>
        </w:rPr>
        <w:t xml:space="preserve"> </w:t>
      </w:r>
      <w:r w:rsidRPr="00257324">
        <w:rPr>
          <w:rFonts w:cs="Arial"/>
        </w:rPr>
        <w:t>und zudem (bei niedrigen Plasmakonze</w:t>
      </w:r>
      <w:r>
        <w:rPr>
          <w:rFonts w:cs="Arial"/>
        </w:rPr>
        <w:t xml:space="preserve">ntrationen) vollständig aus den </w:t>
      </w:r>
      <w:r w:rsidRPr="00257324">
        <w:rPr>
          <w:rFonts w:cs="Arial"/>
        </w:rPr>
        <w:t>peritubulären Kapillaren in das Tubuluslumen sezern</w:t>
      </w:r>
      <w:r>
        <w:rPr>
          <w:rFonts w:cs="Arial"/>
        </w:rPr>
        <w:t xml:space="preserve">iert wird, spiegelt den renalen </w:t>
      </w:r>
      <w:r w:rsidRPr="00257324">
        <w:rPr>
          <w:rFonts w:cs="Arial"/>
        </w:rPr>
        <w:t>Plasmafluß (</w:t>
      </w:r>
      <w:r w:rsidRPr="00257324">
        <w:rPr>
          <w:rFonts w:cs="Arial"/>
          <w:bCs/>
        </w:rPr>
        <w:t>RPF</w:t>
      </w:r>
      <w:r>
        <w:rPr>
          <w:rFonts w:cs="Arial"/>
        </w:rPr>
        <w:t xml:space="preserve">) wider </w:t>
      </w:r>
      <w:r w:rsidRPr="00257324">
        <w:rPr>
          <w:rFonts w:cs="Arial"/>
        </w:rPr>
        <w:t>(normalerweise 550 ml/min)</w:t>
      </w:r>
    </w:p>
    <w:p w14:paraId="039D3100" w14:textId="77777777" w:rsidR="00A9206C" w:rsidRPr="00A9206C" w:rsidRDefault="00A9206C" w:rsidP="00775A4F">
      <w:pPr>
        <w:spacing w:after="0"/>
      </w:pPr>
    </w:p>
    <w:p w14:paraId="406D7B9B" w14:textId="77777777" w:rsidR="00775A4F" w:rsidRPr="00775A4F" w:rsidRDefault="00775A4F" w:rsidP="00775A4F">
      <w:pPr>
        <w:spacing w:after="0"/>
        <w:rPr>
          <w:color w:val="C45911" w:themeColor="accent2" w:themeShade="BF"/>
          <w:sz w:val="26"/>
          <w:szCs w:val="26"/>
        </w:rPr>
      </w:pPr>
      <w:r w:rsidRPr="00775A4F">
        <w:rPr>
          <w:color w:val="C45911" w:themeColor="accent2" w:themeShade="BF"/>
          <w:sz w:val="26"/>
          <w:szCs w:val="26"/>
        </w:rPr>
        <w:t>Aufbau eines Osmogradienten zwischen Nierenmark und Nierenkortex mittels Gegenstrommultiplikation und Transportprozessen im Nephron zu skizzieren.</w:t>
      </w:r>
    </w:p>
    <w:p w14:paraId="432BC266" w14:textId="77777777" w:rsidR="00775A4F" w:rsidRDefault="00E24742" w:rsidP="00775A4F">
      <w:pPr>
        <w:spacing w:after="0"/>
        <w:rPr>
          <w:sz w:val="24"/>
          <w:szCs w:val="24"/>
        </w:rPr>
      </w:pPr>
      <w:r>
        <w:rPr>
          <w:noProof/>
          <w:sz w:val="24"/>
          <w:szCs w:val="24"/>
          <w:lang w:val="en-US"/>
        </w:rPr>
        <w:drawing>
          <wp:inline distT="0" distB="0" distL="0" distR="0">
            <wp:extent cx="3093058" cy="2340375"/>
            <wp:effectExtent l="0" t="0" r="0" b="3175"/>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C069AF.tmp"/>
                    <pic:cNvPicPr/>
                  </pic:nvPicPr>
                  <pic:blipFill>
                    <a:blip r:embed="rId63">
                      <a:extLst>
                        <a:ext uri="{28A0092B-C50C-407E-A947-70E740481C1C}">
                          <a14:useLocalDpi xmlns:a14="http://schemas.microsoft.com/office/drawing/2010/main" val="0"/>
                        </a:ext>
                      </a:extLst>
                    </a:blip>
                    <a:stretch>
                      <a:fillRect/>
                    </a:stretch>
                  </pic:blipFill>
                  <pic:spPr>
                    <a:xfrm>
                      <a:off x="0" y="0"/>
                      <a:ext cx="3098667" cy="2344619"/>
                    </a:xfrm>
                    <a:prstGeom prst="rect">
                      <a:avLst/>
                    </a:prstGeom>
                  </pic:spPr>
                </pic:pic>
              </a:graphicData>
            </a:graphic>
          </wp:inline>
        </w:drawing>
      </w:r>
    </w:p>
    <w:p w14:paraId="00CD9BC6" w14:textId="77777777" w:rsidR="00E24742" w:rsidRPr="00834A10" w:rsidRDefault="00E24742" w:rsidP="00834A10">
      <w:pPr>
        <w:spacing w:after="0" w:line="240" w:lineRule="auto"/>
      </w:pPr>
    </w:p>
    <w:p w14:paraId="6ADDB0CD" w14:textId="77777777" w:rsidR="00E24742" w:rsidRDefault="00834A10" w:rsidP="00834A10">
      <w:pPr>
        <w:spacing w:after="0" w:line="240" w:lineRule="auto"/>
      </w:pPr>
      <w:r w:rsidRPr="00834A10">
        <w:t>Gegenstrom-Austausch</w:t>
      </w:r>
      <w:r>
        <w:t>: Gleichlaufend oder Gegenstromaustauscher bei Wärme</w:t>
      </w:r>
    </w:p>
    <w:p w14:paraId="55D49951" w14:textId="77777777" w:rsidR="00834A10" w:rsidRDefault="00834A10" w:rsidP="00834A10">
      <w:pPr>
        <w:spacing w:after="0" w:line="240" w:lineRule="auto"/>
      </w:pPr>
    </w:p>
    <w:p w14:paraId="580A8C92" w14:textId="77777777" w:rsidR="00834A10" w:rsidRDefault="00834A10" w:rsidP="00834A10">
      <w:pPr>
        <w:spacing w:after="0" w:line="240" w:lineRule="auto"/>
      </w:pPr>
      <w:r>
        <w:rPr>
          <w:noProof/>
          <w:lang w:val="en-US"/>
        </w:rPr>
        <w:drawing>
          <wp:inline distT="0" distB="0" distL="0" distR="0">
            <wp:extent cx="3156668" cy="2305565"/>
            <wp:effectExtent l="0" t="0" r="5715" b="0"/>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2C0C8DD.tmp"/>
                    <pic:cNvPicPr/>
                  </pic:nvPicPr>
                  <pic:blipFill>
                    <a:blip r:embed="rId64">
                      <a:extLst>
                        <a:ext uri="{28A0092B-C50C-407E-A947-70E740481C1C}">
                          <a14:useLocalDpi xmlns:a14="http://schemas.microsoft.com/office/drawing/2010/main" val="0"/>
                        </a:ext>
                      </a:extLst>
                    </a:blip>
                    <a:stretch>
                      <a:fillRect/>
                    </a:stretch>
                  </pic:blipFill>
                  <pic:spPr>
                    <a:xfrm>
                      <a:off x="0" y="0"/>
                      <a:ext cx="3167087" cy="2313175"/>
                    </a:xfrm>
                    <a:prstGeom prst="rect">
                      <a:avLst/>
                    </a:prstGeom>
                  </pic:spPr>
                </pic:pic>
              </a:graphicData>
            </a:graphic>
          </wp:inline>
        </w:drawing>
      </w:r>
    </w:p>
    <w:p w14:paraId="27BF9635" w14:textId="77777777" w:rsidR="00834A10" w:rsidRDefault="00834A10" w:rsidP="00834A10">
      <w:pPr>
        <w:spacing w:after="0" w:line="240" w:lineRule="auto"/>
      </w:pPr>
    </w:p>
    <w:p w14:paraId="7BF22892" w14:textId="77777777" w:rsidR="00834A10" w:rsidRDefault="00834A10" w:rsidP="00834A10">
      <w:pPr>
        <w:spacing w:after="0" w:line="240" w:lineRule="auto"/>
      </w:pPr>
      <w:r>
        <w:t>Aktive NaCl- und passive Wasserflüsse in der Gegenstrommultiplikation</w:t>
      </w:r>
    </w:p>
    <w:p w14:paraId="140B6785" w14:textId="77777777" w:rsidR="00834A10" w:rsidRDefault="00834A10" w:rsidP="00834A10">
      <w:pPr>
        <w:spacing w:after="0" w:line="240" w:lineRule="auto"/>
      </w:pPr>
    </w:p>
    <w:p w14:paraId="148F242C" w14:textId="77777777" w:rsidR="00834A10" w:rsidRDefault="00834A10" w:rsidP="00834A10">
      <w:pPr>
        <w:spacing w:after="0" w:line="240" w:lineRule="auto"/>
      </w:pPr>
      <w:r>
        <w:t>Aufbau des Kortik-Medulären Osmogradienten:</w:t>
      </w:r>
    </w:p>
    <w:p w14:paraId="526B7111" w14:textId="77777777" w:rsidR="00834A10" w:rsidRDefault="00834A10" w:rsidP="00834A10">
      <w:pPr>
        <w:spacing w:after="0" w:line="240" w:lineRule="auto"/>
      </w:pPr>
      <w:r>
        <w:tab/>
        <w:t>Transportsteigerung durch Aldosteron- bzw. ADH-Stimulation</w:t>
      </w:r>
    </w:p>
    <w:p w14:paraId="7EDD8525" w14:textId="77777777" w:rsidR="00834A10" w:rsidRDefault="00834A10" w:rsidP="00834A10">
      <w:pPr>
        <w:spacing w:after="0" w:line="240" w:lineRule="auto"/>
      </w:pPr>
    </w:p>
    <w:p w14:paraId="1349D2D5" w14:textId="77777777" w:rsidR="00834A10" w:rsidRDefault="00834A10" w:rsidP="00834A10">
      <w:pPr>
        <w:spacing w:after="0" w:line="240" w:lineRule="auto"/>
      </w:pPr>
      <w:r>
        <w:t>Vasa recta Schleife:</w:t>
      </w:r>
    </w:p>
    <w:p w14:paraId="1229E88F" w14:textId="77777777" w:rsidR="00834A10" w:rsidRDefault="00834A10" w:rsidP="00C31B00">
      <w:pPr>
        <w:pStyle w:val="Listenabsatz"/>
        <w:numPr>
          <w:ilvl w:val="0"/>
          <w:numId w:val="24"/>
        </w:numPr>
        <w:spacing w:after="0" w:line="240" w:lineRule="auto"/>
      </w:pPr>
      <w:r>
        <w:t>Verhindert bei normalen Blutdruck Auswaschen des Osmogradienten</w:t>
      </w:r>
    </w:p>
    <w:p w14:paraId="6CCB6BBF" w14:textId="77777777" w:rsidR="00834A10" w:rsidRPr="00834A10" w:rsidRDefault="00834A10" w:rsidP="00C31B00">
      <w:pPr>
        <w:pStyle w:val="Listenabsatz"/>
        <w:numPr>
          <w:ilvl w:val="0"/>
          <w:numId w:val="24"/>
        </w:numPr>
        <w:spacing w:after="0" w:line="240" w:lineRule="auto"/>
      </w:pPr>
      <w:r>
        <w:t>Druckdiurese bei erhöhtem Blutdruck, da juxtamedulläre Nephrone nicht autoregulieren</w:t>
      </w:r>
    </w:p>
    <w:p w14:paraId="52F16842" w14:textId="77777777" w:rsidR="00775A4F" w:rsidRPr="00985F62" w:rsidRDefault="00DD60D2" w:rsidP="00775A4F">
      <w:pPr>
        <w:spacing w:after="0"/>
      </w:pPr>
      <w:r>
        <w:rPr>
          <w:noProof/>
          <w:sz w:val="24"/>
          <w:szCs w:val="24"/>
          <w:lang w:val="en-US"/>
        </w:rPr>
        <mc:AlternateContent>
          <mc:Choice Requires="wps">
            <w:drawing>
              <wp:anchor distT="0" distB="0" distL="114300" distR="114300" simplePos="0" relativeHeight="251659264" behindDoc="0" locked="0" layoutInCell="1" allowOverlap="1" wp14:anchorId="41658179" wp14:editId="6E24D69F">
                <wp:simplePos x="0" y="0"/>
                <wp:positionH relativeFrom="column">
                  <wp:posOffset>76835</wp:posOffset>
                </wp:positionH>
                <wp:positionV relativeFrom="paragraph">
                  <wp:posOffset>1108738</wp:posOffset>
                </wp:positionV>
                <wp:extent cx="238539" cy="222637"/>
                <wp:effectExtent l="0" t="0" r="9525" b="6350"/>
                <wp:wrapNone/>
                <wp:docPr id="6" name="Multiplizieren 6"/>
                <wp:cNvGraphicFramePr/>
                <a:graphic xmlns:a="http://schemas.openxmlformats.org/drawingml/2006/main">
                  <a:graphicData uri="http://schemas.microsoft.com/office/word/2010/wordprocessingShape">
                    <wps:wsp>
                      <wps:cNvSpPr/>
                      <wps:spPr>
                        <a:xfrm>
                          <a:off x="0" y="0"/>
                          <a:ext cx="238539" cy="222637"/>
                        </a:xfrm>
                        <a:prstGeom prst="mathMultiply">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D21C592" id="Multiplizieren 6" o:spid="_x0000_s1026" style="position:absolute;margin-left:6.05pt;margin-top:87.3pt;width:18.8pt;height:17.5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238539,2226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" path="m39427,72612l75156,34331r44114,41173l163383,34331r35729,38281l157642,111319r41470,38706l163383,188306,119270,147133,75156,188306,39427,150025,80897,111319,39427,72612xe" fillcolor="#5b9bd5 [3204]" strokecolor="#1f4d78 [1604]" strokeweight="1pt">
                <v:stroke joinstyle="miter"/>
                <v:path arrowok="t" o:connecttype="custom" o:connectlocs="39427,72612;75156,34331;119270,75504;163383,34331;199112,72612;157642,111319;199112,150025;163383,188306;119270,147133;75156,188306;39427,150025;80897,111319;39427,72612" o:connectangles="0,0,0,0,0,0,0,0,0,0,0,0,0"/>
              </v:shape>
            </w:pict>
          </mc:Fallback>
        </mc:AlternateContent>
      </w:r>
      <w:r>
        <w:rPr>
          <w:noProof/>
          <w:sz w:val="24"/>
          <w:szCs w:val="24"/>
          <w:lang w:val="en-US"/>
        </w:rPr>
        <mc:AlternateContent>
          <mc:Choice Requires="wps">
            <w:drawing>
              <wp:anchor distT="0" distB="0" distL="114300" distR="114300" simplePos="0" relativeHeight="251661312" behindDoc="0" locked="0" layoutInCell="1" allowOverlap="1" wp14:anchorId="3235FAEA" wp14:editId="5BE7A47E">
                <wp:simplePos x="0" y="0"/>
                <wp:positionH relativeFrom="margin">
                  <wp:posOffset>39343</wp:posOffset>
                </wp:positionH>
                <wp:positionV relativeFrom="paragraph">
                  <wp:posOffset>2572385</wp:posOffset>
                </wp:positionV>
                <wp:extent cx="262393" cy="222250"/>
                <wp:effectExtent l="0" t="0" r="0" b="6350"/>
                <wp:wrapNone/>
                <wp:docPr id="7" name="Multiplizieren 7"/>
                <wp:cNvGraphicFramePr/>
                <a:graphic xmlns:a="http://schemas.openxmlformats.org/drawingml/2006/main">
                  <a:graphicData uri="http://schemas.microsoft.com/office/word/2010/wordprocessingShape">
                    <wps:wsp>
                      <wps:cNvSpPr/>
                      <wps:spPr>
                        <a:xfrm>
                          <a:off x="0" y="0"/>
                          <a:ext cx="262393" cy="222250"/>
                        </a:xfrm>
                        <a:prstGeom prst="mathMultiply">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EA629B" id="Multiplizieren 7" o:spid="_x0000_s1026" style="position:absolute;margin-left:3.1pt;margin-top:202.55pt;width:20.65pt;height:1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262393,222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" path="m46128,73323l79913,33435r51284,43438l182480,33435r33785,39888l171635,111125r44630,37802l182480,188815,131197,145377,79913,188815,46128,148927,90758,111125,46128,73323xe" fillcolor="#5b9bd5 [3204]" strokecolor="#1f4d78 [1604]" strokeweight="1pt">
                <v:stroke joinstyle="miter"/>
                <v:path arrowok="t" o:connecttype="custom" o:connectlocs="46128,73323;79913,33435;131197,76873;182480,33435;216265,73323;171635,111125;216265,148927;182480,188815;131197,145377;79913,188815;46128,148927;90758,111125;46128,73323" o:connectangles="0,0,0,0,0,0,0,0,0,0,0,0,0"/>
                <w10:wrap anchorx="margin"/>
              </v:shape>
            </w:pict>
          </mc:Fallback>
        </mc:AlternateContent>
      </w:r>
      <w:r>
        <w:rPr>
          <w:noProof/>
          <w:sz w:val="24"/>
          <w:szCs w:val="24"/>
          <w:lang w:val="en-US"/>
        </w:rPr>
        <w:drawing>
          <wp:inline distT="0" distB="0" distL="0" distR="0" wp14:anchorId="3609296C" wp14:editId="1886F3B2">
            <wp:extent cx="4286250" cy="3181350"/>
            <wp:effectExtent l="0" t="0" r="0" b="0"/>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380C699.tmp"/>
                    <pic:cNvPicPr/>
                  </pic:nvPicPr>
                  <pic:blipFill rotWithShape="1">
                    <a:blip r:embed="rId65">
                      <a:extLst>
                        <a:ext uri="{28A0092B-C50C-407E-A947-70E740481C1C}">
                          <a14:useLocalDpi xmlns:a14="http://schemas.microsoft.com/office/drawing/2010/main" val="0"/>
                        </a:ext>
                      </a:extLst>
                    </a:blip>
                    <a:srcRect r="3640"/>
                    <a:stretch/>
                  </pic:blipFill>
                  <pic:spPr bwMode="auto">
                    <a:xfrm>
                      <a:off x="0" y="0"/>
                      <a:ext cx="4286848" cy="3181794"/>
                    </a:xfrm>
                    <a:prstGeom prst="rect">
                      <a:avLst/>
                    </a:prstGeom>
                    <a:ln>
                      <a:noFill/>
                    </a:ln>
                    <a:extLst>
                      <a:ext uri="{53640926-AAD7-44D8-BBD7-CCE9431645EC}">
                        <a14:shadowObscured xmlns:a14="http://schemas.microsoft.com/office/drawing/2010/main"/>
                      </a:ext>
                    </a:extLst>
                  </pic:spPr>
                </pic:pic>
              </a:graphicData>
            </a:graphic>
          </wp:inline>
        </w:drawing>
      </w:r>
    </w:p>
    <w:p w14:paraId="12399F25" w14:textId="77777777" w:rsidR="00775A4F" w:rsidRPr="00985F62" w:rsidRDefault="00775A4F" w:rsidP="00775A4F">
      <w:pPr>
        <w:spacing w:after="0"/>
      </w:pPr>
    </w:p>
    <w:p w14:paraId="479B08E3" w14:textId="77777777" w:rsidR="0064565F" w:rsidRPr="00CB2148" w:rsidRDefault="00CB2148" w:rsidP="00775A4F">
      <w:pPr>
        <w:spacing w:after="0"/>
        <w:rPr>
          <w:b/>
          <w:sz w:val="26"/>
          <w:szCs w:val="26"/>
        </w:rPr>
      </w:pPr>
      <w:r w:rsidRPr="00CB2148">
        <w:rPr>
          <w:b/>
          <w:sz w:val="26"/>
          <w:szCs w:val="26"/>
        </w:rPr>
        <w:t>Nierenersatzverfahren</w:t>
      </w:r>
    </w:p>
    <w:p w14:paraId="21B0BA05" w14:textId="77777777" w:rsidR="0064565F" w:rsidRPr="00985F62" w:rsidRDefault="00D41B7C" w:rsidP="00775A4F">
      <w:pPr>
        <w:spacing w:after="0"/>
      </w:pPr>
      <w:r>
        <w:rPr>
          <w:noProof/>
          <w:lang w:val="en-US"/>
        </w:rPr>
        <w:drawing>
          <wp:inline distT="0" distB="0" distL="0" distR="0">
            <wp:extent cx="2886324" cy="2609160"/>
            <wp:effectExtent l="0" t="0" r="0" b="127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C0E025.tmp"/>
                    <pic:cNvPicPr/>
                  </pic:nvPicPr>
                  <pic:blipFill>
                    <a:blip r:embed="rId66">
                      <a:extLst>
                        <a:ext uri="{28A0092B-C50C-407E-A947-70E740481C1C}">
                          <a14:useLocalDpi xmlns:a14="http://schemas.microsoft.com/office/drawing/2010/main" val="0"/>
                        </a:ext>
                      </a:extLst>
                    </a:blip>
                    <a:stretch>
                      <a:fillRect/>
                    </a:stretch>
                  </pic:blipFill>
                  <pic:spPr>
                    <a:xfrm>
                      <a:off x="0" y="0"/>
                      <a:ext cx="2893772" cy="2615892"/>
                    </a:xfrm>
                    <a:prstGeom prst="rect">
                      <a:avLst/>
                    </a:prstGeom>
                  </pic:spPr>
                </pic:pic>
              </a:graphicData>
            </a:graphic>
          </wp:inline>
        </w:drawing>
      </w:r>
    </w:p>
    <w:p w14:paraId="13DD0538" w14:textId="77777777" w:rsidR="00CB2148" w:rsidRDefault="00D41B7C" w:rsidP="00775A4F">
      <w:pPr>
        <w:spacing w:after="0"/>
      </w:pPr>
      <w:r>
        <w:t>Indikation zur Dialyse</w:t>
      </w:r>
    </w:p>
    <w:p w14:paraId="211E000D" w14:textId="77777777" w:rsidR="00D41B7C" w:rsidRPr="00D41B7C" w:rsidRDefault="00D41B7C" w:rsidP="00D41B7C">
      <w:pPr>
        <w:pStyle w:val="Listenabsatz"/>
        <w:numPr>
          <w:ilvl w:val="0"/>
          <w:numId w:val="14"/>
        </w:numPr>
        <w:autoSpaceDE w:val="0"/>
        <w:autoSpaceDN w:val="0"/>
        <w:adjustRightInd w:val="0"/>
        <w:spacing w:after="0" w:line="240" w:lineRule="auto"/>
        <w:rPr>
          <w:rFonts w:cs="Arial"/>
          <w:color w:val="000000"/>
        </w:rPr>
      </w:pPr>
      <w:r w:rsidRPr="00D41B7C">
        <w:rPr>
          <w:rFonts w:cs="Arial"/>
          <w:color w:val="000000"/>
        </w:rPr>
        <w:t>Akutes oder chronisches Nierenversagen (GFR &lt; 10 ml/min/1,73 m²) mit Urämie:</w:t>
      </w:r>
    </w:p>
    <w:p w14:paraId="16F4A9DF" w14:textId="77777777" w:rsidR="00D41B7C" w:rsidRPr="00D41B7C" w:rsidRDefault="00D41B7C" w:rsidP="00D41B7C">
      <w:pPr>
        <w:pStyle w:val="Listenabsatz"/>
        <w:numPr>
          <w:ilvl w:val="2"/>
          <w:numId w:val="14"/>
        </w:numPr>
        <w:autoSpaceDE w:val="0"/>
        <w:autoSpaceDN w:val="0"/>
        <w:adjustRightInd w:val="0"/>
        <w:spacing w:after="0" w:line="240" w:lineRule="auto"/>
        <w:rPr>
          <w:rFonts w:cs="Arial"/>
          <w:color w:val="000000"/>
        </w:rPr>
      </w:pPr>
      <w:r w:rsidRPr="00D41B7C">
        <w:rPr>
          <w:rFonts w:cs="Arial"/>
          <w:color w:val="000000"/>
        </w:rPr>
        <w:t>urämischer Fötor</w:t>
      </w:r>
    </w:p>
    <w:p w14:paraId="43259DDD" w14:textId="77777777" w:rsidR="00D41B7C" w:rsidRPr="00D41B7C" w:rsidRDefault="00D41B7C" w:rsidP="00D41B7C">
      <w:pPr>
        <w:pStyle w:val="Listenabsatz"/>
        <w:numPr>
          <w:ilvl w:val="2"/>
          <w:numId w:val="14"/>
        </w:numPr>
        <w:autoSpaceDE w:val="0"/>
        <w:autoSpaceDN w:val="0"/>
        <w:adjustRightInd w:val="0"/>
        <w:spacing w:after="0" w:line="240" w:lineRule="auto"/>
        <w:rPr>
          <w:rFonts w:cs="Arial"/>
          <w:color w:val="000000"/>
        </w:rPr>
      </w:pPr>
      <w:r w:rsidRPr="00D41B7C">
        <w:rPr>
          <w:rFonts w:cs="Arial"/>
          <w:color w:val="000000"/>
        </w:rPr>
        <w:t>urämische Perikarditis</w:t>
      </w:r>
    </w:p>
    <w:p w14:paraId="1525F690" w14:textId="77777777" w:rsidR="00D41B7C" w:rsidRPr="00D41B7C" w:rsidRDefault="00D41B7C" w:rsidP="00D41B7C">
      <w:pPr>
        <w:pStyle w:val="Listenabsatz"/>
        <w:numPr>
          <w:ilvl w:val="2"/>
          <w:numId w:val="14"/>
        </w:numPr>
        <w:autoSpaceDE w:val="0"/>
        <w:autoSpaceDN w:val="0"/>
        <w:adjustRightInd w:val="0"/>
        <w:spacing w:after="0" w:line="240" w:lineRule="auto"/>
        <w:rPr>
          <w:rFonts w:cs="Arial"/>
          <w:color w:val="000000"/>
        </w:rPr>
      </w:pPr>
      <w:r w:rsidRPr="00D41B7C">
        <w:rPr>
          <w:rFonts w:cs="Arial"/>
          <w:color w:val="000000"/>
        </w:rPr>
        <w:t>urämische Enzephalopathie / Koma</w:t>
      </w:r>
    </w:p>
    <w:p w14:paraId="6C70AC88" w14:textId="77777777" w:rsidR="00D41B7C" w:rsidRPr="00D41B7C" w:rsidRDefault="00D41B7C" w:rsidP="00D41B7C">
      <w:pPr>
        <w:pStyle w:val="Listenabsatz"/>
        <w:numPr>
          <w:ilvl w:val="0"/>
          <w:numId w:val="14"/>
        </w:numPr>
        <w:autoSpaceDE w:val="0"/>
        <w:autoSpaceDN w:val="0"/>
        <w:adjustRightInd w:val="0"/>
        <w:spacing w:after="0" w:line="240" w:lineRule="auto"/>
        <w:rPr>
          <w:rFonts w:cs="Arial"/>
          <w:color w:val="000000"/>
        </w:rPr>
      </w:pPr>
      <w:r w:rsidRPr="00D41B7C">
        <w:rPr>
          <w:rFonts w:cs="Arial"/>
          <w:color w:val="000000"/>
        </w:rPr>
        <w:t>Akutes oder chronisches Nierenversagen und nicht konservativ zubeherrschende</w:t>
      </w:r>
    </w:p>
    <w:p w14:paraId="3997BC6B" w14:textId="77777777" w:rsidR="00D41B7C" w:rsidRPr="00D41B7C" w:rsidRDefault="00D41B7C" w:rsidP="00D41B7C">
      <w:pPr>
        <w:pStyle w:val="Listenabsatz"/>
        <w:numPr>
          <w:ilvl w:val="2"/>
          <w:numId w:val="14"/>
        </w:numPr>
        <w:autoSpaceDE w:val="0"/>
        <w:autoSpaceDN w:val="0"/>
        <w:adjustRightInd w:val="0"/>
        <w:spacing w:after="0" w:line="240" w:lineRule="auto"/>
        <w:rPr>
          <w:rFonts w:cs="Arial"/>
          <w:color w:val="000000"/>
        </w:rPr>
      </w:pPr>
      <w:r w:rsidRPr="00D41B7C">
        <w:rPr>
          <w:rFonts w:cs="Arial"/>
          <w:color w:val="000000"/>
        </w:rPr>
        <w:t>Überwässerung mit Blutdruckentgleisung und/oder Lungenödem</w:t>
      </w:r>
    </w:p>
    <w:p w14:paraId="0D2414A3" w14:textId="77777777" w:rsidR="00D41B7C" w:rsidRPr="00D41B7C" w:rsidRDefault="00D41B7C" w:rsidP="00D41B7C">
      <w:pPr>
        <w:pStyle w:val="Listenabsatz"/>
        <w:numPr>
          <w:ilvl w:val="2"/>
          <w:numId w:val="14"/>
        </w:numPr>
        <w:autoSpaceDE w:val="0"/>
        <w:autoSpaceDN w:val="0"/>
        <w:adjustRightInd w:val="0"/>
        <w:spacing w:after="0" w:line="240" w:lineRule="auto"/>
        <w:rPr>
          <w:rFonts w:cs="Arial"/>
          <w:color w:val="000000"/>
        </w:rPr>
      </w:pPr>
      <w:r w:rsidRPr="00D41B7C">
        <w:rPr>
          <w:rFonts w:cs="Arial"/>
          <w:color w:val="000000"/>
        </w:rPr>
        <w:t>Hyperkaliämie</w:t>
      </w:r>
    </w:p>
    <w:p w14:paraId="3C387ACC" w14:textId="77777777" w:rsidR="00D41B7C" w:rsidRPr="00D41B7C" w:rsidRDefault="00D41B7C" w:rsidP="00D41B7C">
      <w:pPr>
        <w:pStyle w:val="Listenabsatz"/>
        <w:numPr>
          <w:ilvl w:val="2"/>
          <w:numId w:val="14"/>
        </w:numPr>
        <w:spacing w:after="0"/>
      </w:pPr>
      <w:r w:rsidRPr="00D41B7C">
        <w:rPr>
          <w:rFonts w:cs="Arial"/>
          <w:color w:val="000000"/>
        </w:rPr>
        <w:t>Azidose</w:t>
      </w:r>
    </w:p>
    <w:p w14:paraId="5DCBA5D2" w14:textId="77777777" w:rsidR="00D41B7C" w:rsidRPr="00D41B7C" w:rsidRDefault="00D41B7C" w:rsidP="00D41B7C">
      <w:pPr>
        <w:autoSpaceDE w:val="0"/>
        <w:autoSpaceDN w:val="0"/>
        <w:adjustRightInd w:val="0"/>
        <w:spacing w:after="0" w:line="240" w:lineRule="auto"/>
        <w:rPr>
          <w:rFonts w:cs="Arial"/>
        </w:rPr>
      </w:pPr>
      <w:r w:rsidRPr="00D41B7C">
        <w:rPr>
          <w:rFonts w:cs="Arial"/>
        </w:rPr>
        <w:t>W</w:t>
      </w:r>
      <w:r>
        <w:rPr>
          <w:rFonts w:cs="Arial"/>
        </w:rPr>
        <w:t xml:space="preserve">ieviele Menschen sind terminal </w:t>
      </w:r>
      <w:r w:rsidRPr="00D41B7C">
        <w:rPr>
          <w:rFonts w:cs="Arial"/>
        </w:rPr>
        <w:t>niereninsuffizient?</w:t>
      </w:r>
    </w:p>
    <w:p w14:paraId="68A54E97" w14:textId="77777777" w:rsidR="00D41B7C" w:rsidRPr="00D41B7C" w:rsidRDefault="00D41B7C" w:rsidP="00D41B7C">
      <w:pPr>
        <w:pStyle w:val="Listenabsatz"/>
        <w:numPr>
          <w:ilvl w:val="0"/>
          <w:numId w:val="14"/>
        </w:numPr>
        <w:autoSpaceDE w:val="0"/>
        <w:autoSpaceDN w:val="0"/>
        <w:adjustRightInd w:val="0"/>
        <w:spacing w:after="0" w:line="240" w:lineRule="auto"/>
        <w:rPr>
          <w:rFonts w:cs="Arial"/>
        </w:rPr>
      </w:pPr>
      <w:r w:rsidRPr="00D41B7C">
        <w:rPr>
          <w:rFonts w:cs="Arial"/>
        </w:rPr>
        <w:t>1-2 / 800 Einwohner</w:t>
      </w:r>
    </w:p>
    <w:p w14:paraId="28C4E6E0" w14:textId="77777777" w:rsidR="00D41B7C" w:rsidRPr="00D41B7C" w:rsidRDefault="00D41B7C" w:rsidP="00D41B7C">
      <w:pPr>
        <w:pStyle w:val="Listenabsatz"/>
        <w:numPr>
          <w:ilvl w:val="0"/>
          <w:numId w:val="14"/>
        </w:numPr>
        <w:autoSpaceDE w:val="0"/>
        <w:autoSpaceDN w:val="0"/>
        <w:adjustRightInd w:val="0"/>
        <w:spacing w:after="0" w:line="240" w:lineRule="auto"/>
        <w:rPr>
          <w:rFonts w:cs="Arial"/>
        </w:rPr>
      </w:pPr>
      <w:r w:rsidRPr="00D41B7C">
        <w:rPr>
          <w:rFonts w:cs="Arial"/>
        </w:rPr>
        <w:t>2.000.000 Millionen Menschen an Dialyse weltweit</w:t>
      </w:r>
    </w:p>
    <w:p w14:paraId="24D9E80F" w14:textId="77777777" w:rsidR="00D41B7C" w:rsidRPr="00D41B7C" w:rsidRDefault="00D41B7C" w:rsidP="00D41B7C">
      <w:pPr>
        <w:pStyle w:val="Listenabsatz"/>
        <w:numPr>
          <w:ilvl w:val="0"/>
          <w:numId w:val="14"/>
        </w:numPr>
        <w:autoSpaceDE w:val="0"/>
        <w:autoSpaceDN w:val="0"/>
        <w:adjustRightInd w:val="0"/>
        <w:spacing w:after="0" w:line="240" w:lineRule="auto"/>
        <w:rPr>
          <w:rFonts w:cs="Arial"/>
        </w:rPr>
      </w:pPr>
      <w:r w:rsidRPr="00D41B7C">
        <w:rPr>
          <w:rFonts w:cs="Arial"/>
        </w:rPr>
        <w:t>ca. 80.000 in Deutschland</w:t>
      </w:r>
    </w:p>
    <w:p w14:paraId="56A84244" w14:textId="77777777" w:rsidR="00D41B7C" w:rsidRPr="00D41B7C" w:rsidRDefault="00D41B7C" w:rsidP="00D41B7C">
      <w:pPr>
        <w:pStyle w:val="Listenabsatz"/>
        <w:numPr>
          <w:ilvl w:val="0"/>
          <w:numId w:val="14"/>
        </w:numPr>
        <w:autoSpaceDE w:val="0"/>
        <w:autoSpaceDN w:val="0"/>
        <w:adjustRightInd w:val="0"/>
        <w:spacing w:after="0" w:line="240" w:lineRule="auto"/>
        <w:rPr>
          <w:rFonts w:cs="Arial"/>
        </w:rPr>
      </w:pPr>
      <w:r w:rsidRPr="00D41B7C">
        <w:rPr>
          <w:rFonts w:cs="Arial"/>
        </w:rPr>
        <w:t>15-20% Mortalität pro Jahr</w:t>
      </w:r>
    </w:p>
    <w:p w14:paraId="10031B19" w14:textId="77777777" w:rsidR="00CB2148" w:rsidRPr="00D41B7C" w:rsidRDefault="00D41B7C" w:rsidP="00D41B7C">
      <w:pPr>
        <w:pStyle w:val="Listenabsatz"/>
        <w:numPr>
          <w:ilvl w:val="0"/>
          <w:numId w:val="14"/>
        </w:numPr>
        <w:spacing w:after="0"/>
      </w:pPr>
      <w:r w:rsidRPr="00D41B7C">
        <w:rPr>
          <w:rFonts w:cs="Arial"/>
        </w:rPr>
        <w:t>6-8 fach höhere Sterblichkeit zur Normalbevölkerung</w:t>
      </w:r>
    </w:p>
    <w:p w14:paraId="6233533D" w14:textId="77777777" w:rsidR="00CB2148" w:rsidRDefault="00D41B7C" w:rsidP="00775A4F">
      <w:pPr>
        <w:spacing w:after="0"/>
      </w:pPr>
      <w:r>
        <w:t>Ursachen der terminalen Niereninsuffizienz:</w:t>
      </w:r>
    </w:p>
    <w:p w14:paraId="660D3E19" w14:textId="77777777" w:rsidR="00D41B7C" w:rsidRDefault="00D41B7C" w:rsidP="00D41B7C">
      <w:pPr>
        <w:pStyle w:val="Listenabsatz"/>
        <w:numPr>
          <w:ilvl w:val="0"/>
          <w:numId w:val="14"/>
        </w:numPr>
        <w:autoSpaceDE w:val="0"/>
        <w:autoSpaceDN w:val="0"/>
        <w:adjustRightInd w:val="0"/>
        <w:spacing w:after="0" w:line="240" w:lineRule="auto"/>
        <w:rPr>
          <w:rFonts w:cs="Arial"/>
        </w:rPr>
      </w:pPr>
      <w:r w:rsidRPr="00D41B7C">
        <w:rPr>
          <w:rFonts w:cs="Arial"/>
        </w:rPr>
        <w:t>Diabetes (36%)</w:t>
      </w:r>
    </w:p>
    <w:p w14:paraId="2514375A" w14:textId="77777777" w:rsidR="00D41B7C" w:rsidRDefault="00D41B7C" w:rsidP="00D41B7C">
      <w:pPr>
        <w:pStyle w:val="Listenabsatz"/>
        <w:numPr>
          <w:ilvl w:val="0"/>
          <w:numId w:val="14"/>
        </w:numPr>
        <w:autoSpaceDE w:val="0"/>
        <w:autoSpaceDN w:val="0"/>
        <w:adjustRightInd w:val="0"/>
        <w:spacing w:after="0" w:line="240" w:lineRule="auto"/>
        <w:rPr>
          <w:rFonts w:cs="Arial"/>
        </w:rPr>
      </w:pPr>
      <w:r>
        <w:rPr>
          <w:rFonts w:cs="Arial"/>
        </w:rPr>
        <w:t>Hypertonie (20</w:t>
      </w:r>
      <w:r w:rsidRPr="00D41B7C">
        <w:rPr>
          <w:rFonts w:cs="Arial"/>
        </w:rPr>
        <w:t>%</w:t>
      </w:r>
      <w:r>
        <w:rPr>
          <w:rFonts w:cs="Arial"/>
        </w:rPr>
        <w:t>)</w:t>
      </w:r>
    </w:p>
    <w:p w14:paraId="139C2B40" w14:textId="77777777" w:rsidR="00D41B7C" w:rsidRDefault="00D41B7C" w:rsidP="00D41B7C">
      <w:pPr>
        <w:pStyle w:val="Listenabsatz"/>
        <w:numPr>
          <w:ilvl w:val="0"/>
          <w:numId w:val="14"/>
        </w:numPr>
        <w:autoSpaceDE w:val="0"/>
        <w:autoSpaceDN w:val="0"/>
        <w:adjustRightInd w:val="0"/>
        <w:spacing w:after="0" w:line="240" w:lineRule="auto"/>
        <w:rPr>
          <w:rFonts w:cs="Arial"/>
        </w:rPr>
      </w:pPr>
      <w:r>
        <w:rPr>
          <w:rFonts w:cs="Arial"/>
        </w:rPr>
        <w:t>Glomerulonephritis (14</w:t>
      </w:r>
      <w:r w:rsidRPr="00D41B7C">
        <w:rPr>
          <w:rFonts w:cs="Arial"/>
        </w:rPr>
        <w:t>%</w:t>
      </w:r>
      <w:r>
        <w:rPr>
          <w:rFonts w:cs="Arial"/>
        </w:rPr>
        <w:t>)</w:t>
      </w:r>
    </w:p>
    <w:p w14:paraId="6933E886" w14:textId="77777777" w:rsidR="00D41B7C" w:rsidRDefault="00D41B7C" w:rsidP="00D41B7C">
      <w:pPr>
        <w:pStyle w:val="Listenabsatz"/>
        <w:numPr>
          <w:ilvl w:val="0"/>
          <w:numId w:val="14"/>
        </w:numPr>
        <w:autoSpaceDE w:val="0"/>
        <w:autoSpaceDN w:val="0"/>
        <w:adjustRightInd w:val="0"/>
        <w:spacing w:after="0" w:line="240" w:lineRule="auto"/>
        <w:rPr>
          <w:rFonts w:cs="Arial"/>
        </w:rPr>
      </w:pPr>
      <w:r>
        <w:rPr>
          <w:rFonts w:cs="Arial"/>
        </w:rPr>
        <w:t>…</w:t>
      </w:r>
    </w:p>
    <w:p w14:paraId="076C5851" w14:textId="77777777" w:rsidR="00D41B7C" w:rsidRDefault="005479EC" w:rsidP="00D41B7C">
      <w:pPr>
        <w:autoSpaceDE w:val="0"/>
        <w:autoSpaceDN w:val="0"/>
        <w:adjustRightInd w:val="0"/>
        <w:spacing w:after="0" w:line="240" w:lineRule="auto"/>
        <w:rPr>
          <w:rFonts w:cs="Arial"/>
        </w:rPr>
      </w:pPr>
      <w:r>
        <w:rPr>
          <w:rFonts w:cs="Arial"/>
        </w:rPr>
        <w:t>Nierenersatztherapie (Anteil der Patienten)</w:t>
      </w:r>
    </w:p>
    <w:p w14:paraId="6284C3A9" w14:textId="77777777" w:rsidR="005479EC" w:rsidRDefault="005479EC" w:rsidP="005479EC">
      <w:pPr>
        <w:pStyle w:val="Listenabsatz"/>
        <w:numPr>
          <w:ilvl w:val="0"/>
          <w:numId w:val="14"/>
        </w:numPr>
        <w:autoSpaceDE w:val="0"/>
        <w:autoSpaceDN w:val="0"/>
        <w:adjustRightInd w:val="0"/>
        <w:spacing w:after="0" w:line="240" w:lineRule="auto"/>
        <w:rPr>
          <w:rFonts w:cs="Arial"/>
        </w:rPr>
      </w:pPr>
      <w:r>
        <w:rPr>
          <w:rFonts w:cs="Arial"/>
        </w:rPr>
        <w:t>Hämodialyse (71</w:t>
      </w:r>
      <w:r w:rsidRPr="00D41B7C">
        <w:rPr>
          <w:rFonts w:cs="Arial"/>
        </w:rPr>
        <w:t>%)</w:t>
      </w:r>
    </w:p>
    <w:p w14:paraId="1A5318FE" w14:textId="77777777" w:rsidR="005479EC" w:rsidRDefault="005479EC" w:rsidP="005479EC">
      <w:pPr>
        <w:pStyle w:val="Listenabsatz"/>
        <w:numPr>
          <w:ilvl w:val="0"/>
          <w:numId w:val="14"/>
        </w:numPr>
        <w:autoSpaceDE w:val="0"/>
        <w:autoSpaceDN w:val="0"/>
        <w:adjustRightInd w:val="0"/>
        <w:spacing w:after="0" w:line="240" w:lineRule="auto"/>
        <w:rPr>
          <w:rFonts w:cs="Arial"/>
        </w:rPr>
      </w:pPr>
      <w:r>
        <w:rPr>
          <w:rFonts w:cs="Arial"/>
        </w:rPr>
        <w:t>Peritonealdialyse (4</w:t>
      </w:r>
      <w:r w:rsidRPr="00D41B7C">
        <w:rPr>
          <w:rFonts w:cs="Arial"/>
        </w:rPr>
        <w:t>%</w:t>
      </w:r>
      <w:r>
        <w:rPr>
          <w:rFonts w:cs="Arial"/>
        </w:rPr>
        <w:t>)</w:t>
      </w:r>
    </w:p>
    <w:p w14:paraId="00F27FA6" w14:textId="77777777" w:rsidR="005479EC" w:rsidRPr="005479EC" w:rsidRDefault="005479EC" w:rsidP="005479EC">
      <w:pPr>
        <w:pStyle w:val="Listenabsatz"/>
        <w:numPr>
          <w:ilvl w:val="0"/>
          <w:numId w:val="14"/>
        </w:numPr>
        <w:autoSpaceDE w:val="0"/>
        <w:autoSpaceDN w:val="0"/>
        <w:adjustRightInd w:val="0"/>
        <w:spacing w:after="0" w:line="240" w:lineRule="auto"/>
        <w:rPr>
          <w:rFonts w:cs="Arial"/>
        </w:rPr>
      </w:pPr>
      <w:r w:rsidRPr="005479EC">
        <w:rPr>
          <w:rFonts w:cs="Arial"/>
        </w:rPr>
        <w:t>Nierentransplantation (25%)</w:t>
      </w:r>
    </w:p>
    <w:p w14:paraId="7217BFB2" w14:textId="77777777" w:rsidR="005479EC" w:rsidRPr="005479EC" w:rsidRDefault="005479EC" w:rsidP="005479EC">
      <w:pPr>
        <w:autoSpaceDE w:val="0"/>
        <w:autoSpaceDN w:val="0"/>
        <w:adjustRightInd w:val="0"/>
        <w:spacing w:after="0" w:line="240" w:lineRule="auto"/>
        <w:rPr>
          <w:rFonts w:cs="Arial"/>
          <w:b/>
        </w:rPr>
      </w:pPr>
      <w:r w:rsidRPr="005479EC">
        <w:rPr>
          <w:rFonts w:cs="Arial"/>
          <w:b/>
        </w:rPr>
        <w:t>Hämodialyse</w:t>
      </w:r>
    </w:p>
    <w:p w14:paraId="1421F8F1" w14:textId="77777777" w:rsidR="005479EC" w:rsidRPr="005479EC" w:rsidRDefault="005479EC" w:rsidP="005479EC">
      <w:pPr>
        <w:spacing w:after="0" w:line="240" w:lineRule="auto"/>
        <w:ind w:left="708"/>
        <w:outlineLvl w:val="2"/>
        <w:rPr>
          <w:rFonts w:eastAsia="Times New Roman" w:cs="Times New Roman"/>
          <w:b/>
          <w:bCs/>
        </w:rPr>
      </w:pPr>
      <w:r w:rsidRPr="005479EC">
        <w:rPr>
          <w:rFonts w:eastAsia="Times New Roman" w:cs="Times New Roman"/>
          <w:b/>
          <w:bCs/>
        </w:rPr>
        <w:t>1 Definition</w:t>
      </w:r>
    </w:p>
    <w:p w14:paraId="7657FC81" w14:textId="77777777" w:rsidR="005479EC" w:rsidRPr="005479EC" w:rsidRDefault="005479EC" w:rsidP="005479EC">
      <w:pPr>
        <w:spacing w:after="0" w:line="240" w:lineRule="auto"/>
        <w:ind w:left="708"/>
        <w:rPr>
          <w:rFonts w:eastAsia="Times New Roman" w:cs="Times New Roman"/>
        </w:rPr>
      </w:pPr>
      <w:r w:rsidRPr="005479EC">
        <w:rPr>
          <w:rFonts w:eastAsia="Times New Roman" w:cs="Times New Roman"/>
        </w:rPr>
        <w:t xml:space="preserve">Unter </w:t>
      </w:r>
      <w:r w:rsidRPr="005479EC">
        <w:rPr>
          <w:rFonts w:eastAsia="Times New Roman" w:cs="Times New Roman"/>
          <w:bCs/>
        </w:rPr>
        <w:t>Hämodialyse</w:t>
      </w:r>
      <w:r w:rsidRPr="005479EC">
        <w:rPr>
          <w:rFonts w:eastAsia="Times New Roman" w:cs="Times New Roman"/>
        </w:rPr>
        <w:t xml:space="preserve"> versteht man die Entfernung von Flüssigkeit und gelösten Molekülen aus dem </w:t>
      </w:r>
      <w:hyperlink r:id="rId67" w:tooltip="Extrakorporal" w:history="1">
        <w:r w:rsidRPr="005479EC">
          <w:rPr>
            <w:rFonts w:eastAsia="Times New Roman" w:cs="Times New Roman"/>
          </w:rPr>
          <w:t>extrakorporal</w:t>
        </w:r>
      </w:hyperlink>
      <w:r w:rsidRPr="005479EC">
        <w:rPr>
          <w:rFonts w:eastAsia="Times New Roman" w:cs="Times New Roman"/>
        </w:rPr>
        <w:t xml:space="preserve"> zirkulierenden </w:t>
      </w:r>
      <w:hyperlink r:id="rId68" w:tooltip="Blut" w:history="1">
        <w:r w:rsidRPr="005479EC">
          <w:rPr>
            <w:rFonts w:eastAsia="Times New Roman" w:cs="Times New Roman"/>
          </w:rPr>
          <w:t>Blut</w:t>
        </w:r>
      </w:hyperlink>
      <w:r w:rsidRPr="005479EC">
        <w:rPr>
          <w:rFonts w:eastAsia="Times New Roman" w:cs="Times New Roman"/>
        </w:rPr>
        <w:t xml:space="preserve"> über Filtersysteme, die eine </w:t>
      </w:r>
      <w:hyperlink r:id="rId69" w:tooltip="Semipermeabel" w:history="1">
        <w:r w:rsidRPr="005479EC">
          <w:rPr>
            <w:rFonts w:eastAsia="Times New Roman" w:cs="Times New Roman"/>
          </w:rPr>
          <w:t>semipermeable</w:t>
        </w:r>
      </w:hyperlink>
      <w:r w:rsidRPr="005479EC">
        <w:rPr>
          <w:rFonts w:eastAsia="Times New Roman" w:cs="Times New Roman"/>
        </w:rPr>
        <w:t xml:space="preserve"> Membran enthalten. Die Hämodialyse ist ein so genanntes </w:t>
      </w:r>
      <w:hyperlink r:id="rId70" w:tooltip="Nierenersatzverfahren" w:history="1">
        <w:r w:rsidRPr="005479EC">
          <w:rPr>
            <w:rFonts w:eastAsia="Times New Roman" w:cs="Times New Roman"/>
          </w:rPr>
          <w:t>Nierenersatzverfahren</w:t>
        </w:r>
      </w:hyperlink>
      <w:r w:rsidRPr="005479EC">
        <w:rPr>
          <w:rFonts w:eastAsia="Times New Roman" w:cs="Times New Roman"/>
        </w:rPr>
        <w:t xml:space="preserve">. </w:t>
      </w:r>
    </w:p>
    <w:p w14:paraId="287EE198" w14:textId="77777777" w:rsidR="005479EC" w:rsidRPr="005479EC" w:rsidRDefault="005479EC" w:rsidP="005479EC">
      <w:pPr>
        <w:spacing w:after="0" w:line="240" w:lineRule="auto"/>
        <w:ind w:left="708"/>
        <w:outlineLvl w:val="2"/>
        <w:rPr>
          <w:rFonts w:eastAsia="Times New Roman" w:cs="Times New Roman"/>
          <w:b/>
          <w:bCs/>
        </w:rPr>
      </w:pPr>
      <w:r w:rsidRPr="005479EC">
        <w:rPr>
          <w:rFonts w:eastAsia="Times New Roman" w:cs="Times New Roman"/>
          <w:b/>
          <w:bCs/>
        </w:rPr>
        <w:t>2 Wirkprinzip</w:t>
      </w:r>
    </w:p>
    <w:p w14:paraId="26A13A18" w14:textId="77777777" w:rsidR="005479EC" w:rsidRPr="005479EC" w:rsidRDefault="005479EC" w:rsidP="005479EC">
      <w:pPr>
        <w:spacing w:after="0" w:line="240" w:lineRule="auto"/>
        <w:ind w:left="708"/>
        <w:outlineLvl w:val="2"/>
        <w:rPr>
          <w:rFonts w:eastAsia="Times New Roman" w:cs="Times New Roman"/>
        </w:rPr>
      </w:pPr>
      <w:r w:rsidRPr="005479EC">
        <w:rPr>
          <w:rFonts w:eastAsia="Times New Roman" w:cs="Times New Roman"/>
        </w:rPr>
        <w:t xml:space="preserve">Das wichtigste Element der Hämodialyse ist der so genannte </w:t>
      </w:r>
      <w:hyperlink r:id="rId71" w:tooltip="Dialysator" w:history="1">
        <w:r w:rsidRPr="005479EC">
          <w:rPr>
            <w:rFonts w:eastAsia="Times New Roman" w:cs="Times New Roman"/>
          </w:rPr>
          <w:t>Dialysator</w:t>
        </w:r>
      </w:hyperlink>
      <w:r w:rsidRPr="005479EC">
        <w:rPr>
          <w:rFonts w:eastAsia="Times New Roman" w:cs="Times New Roman"/>
        </w:rPr>
        <w:t xml:space="preserve">. In ihm wird das Blut durch ein feines System aus Kunststoffkapillaren geleitet, die von einer </w:t>
      </w:r>
      <w:hyperlink r:id="rId72" w:tooltip="Dialysierflüssigkeit" w:history="1">
        <w:r w:rsidRPr="005479EC">
          <w:rPr>
            <w:rFonts w:eastAsia="Times New Roman" w:cs="Times New Roman"/>
          </w:rPr>
          <w:t>Dialysierflüssigkeit</w:t>
        </w:r>
      </w:hyperlink>
      <w:r w:rsidRPr="005479EC">
        <w:rPr>
          <w:rFonts w:eastAsia="Times New Roman" w:cs="Times New Roman"/>
        </w:rPr>
        <w:t xml:space="preserve"> umspült werden. Beim Transport durch die Kapillaren gibt das Blut entlang des </w:t>
      </w:r>
      <w:hyperlink r:id="rId73" w:tooltip="Konzentrationsgradient" w:history="1">
        <w:r w:rsidRPr="005479EC">
          <w:rPr>
            <w:rFonts w:eastAsia="Times New Roman" w:cs="Times New Roman"/>
          </w:rPr>
          <w:t>Konzentrationsgradienten</w:t>
        </w:r>
      </w:hyperlink>
      <w:r w:rsidRPr="005479EC">
        <w:rPr>
          <w:rFonts w:eastAsia="Times New Roman" w:cs="Times New Roman"/>
        </w:rPr>
        <w:t xml:space="preserve"> durch Poren in der Kapillarwand kleinmolekulare Bestandteile ab, die in die Spülflüssigkeit übertreten und damit aus dem Blut entfernt werden. </w:t>
      </w:r>
      <w:hyperlink r:id="rId74" w:tooltip="Blutzelle" w:history="1">
        <w:r w:rsidRPr="005479EC">
          <w:rPr>
            <w:rFonts w:eastAsia="Times New Roman" w:cs="Times New Roman"/>
          </w:rPr>
          <w:t>Blutzellen</w:t>
        </w:r>
      </w:hyperlink>
      <w:r w:rsidRPr="005479EC">
        <w:rPr>
          <w:rFonts w:eastAsia="Times New Roman" w:cs="Times New Roman"/>
        </w:rPr>
        <w:t xml:space="preserve"> und </w:t>
      </w:r>
      <w:hyperlink r:id="rId75" w:tooltip="Plasmaprotein" w:history="1">
        <w:r w:rsidRPr="005479EC">
          <w:rPr>
            <w:rFonts w:eastAsia="Times New Roman" w:cs="Times New Roman"/>
          </w:rPr>
          <w:t>Plasmaproteine</w:t>
        </w:r>
      </w:hyperlink>
      <w:r w:rsidRPr="005479EC">
        <w:rPr>
          <w:rFonts w:eastAsia="Times New Roman" w:cs="Times New Roman"/>
        </w:rPr>
        <w:t xml:space="preserve"> verbleiben hingegen im </w:t>
      </w:r>
      <w:hyperlink r:id="rId76" w:tooltip="Blutplasma" w:history="1">
        <w:r w:rsidRPr="005479EC">
          <w:rPr>
            <w:rFonts w:eastAsia="Times New Roman" w:cs="Times New Roman"/>
          </w:rPr>
          <w:t>Blutplasma</w:t>
        </w:r>
      </w:hyperlink>
      <w:r w:rsidRPr="005479EC">
        <w:rPr>
          <w:rFonts w:eastAsia="Times New Roman" w:cs="Times New Roman"/>
        </w:rPr>
        <w:t xml:space="preserve">. </w:t>
      </w:r>
    </w:p>
    <w:p w14:paraId="123E7533" w14:textId="77777777" w:rsidR="005479EC" w:rsidRPr="005479EC" w:rsidRDefault="005479EC" w:rsidP="005479EC">
      <w:pPr>
        <w:spacing w:after="0" w:line="240" w:lineRule="auto"/>
        <w:ind w:left="708"/>
        <w:rPr>
          <w:rFonts w:eastAsia="Times New Roman" w:cs="Times New Roman"/>
        </w:rPr>
      </w:pPr>
      <w:r w:rsidRPr="005479EC">
        <w:rPr>
          <w:rFonts w:eastAsia="Times New Roman" w:cs="Times New Roman"/>
        </w:rPr>
        <w:t xml:space="preserve">Um einen ausreichenden Blutfluss bei der Hämodialyse zu erreichen, wird beim Patienten ein so genannter </w:t>
      </w:r>
      <w:hyperlink r:id="rId77" w:tooltip="Dialyseshunt" w:history="1">
        <w:r w:rsidRPr="005479EC">
          <w:rPr>
            <w:rFonts w:eastAsia="Times New Roman" w:cs="Times New Roman"/>
          </w:rPr>
          <w:t>Dialyseshunt</w:t>
        </w:r>
      </w:hyperlink>
      <w:r w:rsidRPr="005479EC">
        <w:rPr>
          <w:rFonts w:eastAsia="Times New Roman" w:cs="Times New Roman"/>
        </w:rPr>
        <w:t xml:space="preserve"> angelegt. </w:t>
      </w:r>
    </w:p>
    <w:p w14:paraId="0122EE23" w14:textId="77777777" w:rsidR="005479EC" w:rsidRPr="005479EC" w:rsidRDefault="005479EC" w:rsidP="005479EC">
      <w:pPr>
        <w:spacing w:after="0" w:line="240" w:lineRule="auto"/>
        <w:ind w:left="708"/>
        <w:rPr>
          <w:rFonts w:eastAsia="Times New Roman" w:cs="Times New Roman"/>
        </w:rPr>
      </w:pPr>
      <w:r w:rsidRPr="005479EC">
        <w:rPr>
          <w:rFonts w:eastAsia="Times New Roman" w:cs="Times New Roman"/>
        </w:rPr>
        <w:t xml:space="preserve">Wenn bei chronisch erkrankten Patienten keine Möglichkeit zur täglichen </w:t>
      </w:r>
      <w:hyperlink r:id="rId78" w:tooltip="Heimhämodialyse" w:history="1">
        <w:r w:rsidRPr="005479EC">
          <w:rPr>
            <w:rFonts w:eastAsia="Times New Roman" w:cs="Times New Roman"/>
          </w:rPr>
          <w:t>Heimhämodialyse</w:t>
        </w:r>
      </w:hyperlink>
      <w:r w:rsidRPr="005479EC">
        <w:rPr>
          <w:rFonts w:eastAsia="Times New Roman" w:cs="Times New Roman"/>
        </w:rPr>
        <w:t xml:space="preserve"> (HHD) besteht, können die Vorteile einer längeren und gleichmäßigeren Therapie z.B. durch Nachtdialyse in entsprechend ausgestatteten Zentren genutzt werden. </w:t>
      </w:r>
    </w:p>
    <w:p w14:paraId="34166891" w14:textId="77777777" w:rsidR="00D41B7C" w:rsidRPr="00B121A2" w:rsidRDefault="00D41B7C" w:rsidP="00B121A2">
      <w:pPr>
        <w:autoSpaceDE w:val="0"/>
        <w:autoSpaceDN w:val="0"/>
        <w:adjustRightInd w:val="0"/>
        <w:spacing w:after="0" w:line="240" w:lineRule="auto"/>
        <w:rPr>
          <w:rFonts w:cs="Arial"/>
        </w:rPr>
      </w:pPr>
    </w:p>
    <w:p w14:paraId="5AB650D3" w14:textId="77777777" w:rsidR="00D41B7C" w:rsidRPr="00B121A2" w:rsidRDefault="00B121A2" w:rsidP="00B121A2">
      <w:pPr>
        <w:spacing w:after="0" w:line="240" w:lineRule="auto"/>
        <w:rPr>
          <w:b/>
        </w:rPr>
      </w:pPr>
      <w:r w:rsidRPr="00B121A2">
        <w:rPr>
          <w:b/>
        </w:rPr>
        <w:t>Peritonialdyalyse</w:t>
      </w:r>
    </w:p>
    <w:p w14:paraId="1F47A54E" w14:textId="77777777" w:rsidR="00B121A2" w:rsidRPr="00B121A2" w:rsidRDefault="00B121A2" w:rsidP="00B121A2">
      <w:pPr>
        <w:spacing w:after="0" w:line="240" w:lineRule="auto"/>
        <w:ind w:left="708"/>
        <w:outlineLvl w:val="2"/>
        <w:rPr>
          <w:rFonts w:eastAsia="Times New Roman" w:cs="Times New Roman"/>
          <w:b/>
          <w:bCs/>
        </w:rPr>
      </w:pPr>
      <w:r w:rsidRPr="00B121A2">
        <w:rPr>
          <w:rFonts w:eastAsia="Times New Roman" w:cs="Times New Roman"/>
          <w:b/>
          <w:bCs/>
        </w:rPr>
        <w:t>1 Definition</w:t>
      </w:r>
    </w:p>
    <w:p w14:paraId="1A9D59AF" w14:textId="77777777" w:rsidR="00B121A2" w:rsidRPr="00B121A2" w:rsidRDefault="00B121A2" w:rsidP="00B121A2">
      <w:pPr>
        <w:spacing w:after="0" w:line="240" w:lineRule="auto"/>
        <w:ind w:left="708"/>
        <w:rPr>
          <w:rFonts w:eastAsia="Times New Roman" w:cs="Times New Roman"/>
        </w:rPr>
      </w:pPr>
      <w:r w:rsidRPr="00B121A2">
        <w:rPr>
          <w:rFonts w:eastAsia="Times New Roman" w:cs="Times New Roman"/>
        </w:rPr>
        <w:t xml:space="preserve">Die </w:t>
      </w:r>
      <w:r w:rsidRPr="00B121A2">
        <w:rPr>
          <w:rFonts w:eastAsia="Times New Roman" w:cs="Times New Roman"/>
          <w:bCs/>
        </w:rPr>
        <w:t>Peritonealdialyse</w:t>
      </w:r>
      <w:r w:rsidRPr="00B121A2">
        <w:rPr>
          <w:rFonts w:eastAsia="Times New Roman" w:cs="Times New Roman"/>
        </w:rPr>
        <w:t xml:space="preserve"> ist ein </w:t>
      </w:r>
      <w:hyperlink r:id="rId79" w:tooltip="Nierenersatzverfahren" w:history="1">
        <w:r w:rsidRPr="00B121A2">
          <w:rPr>
            <w:rFonts w:eastAsia="Times New Roman" w:cs="Times New Roman"/>
          </w:rPr>
          <w:t>Nierenersatzverfahren</w:t>
        </w:r>
      </w:hyperlink>
      <w:r w:rsidRPr="00B121A2">
        <w:rPr>
          <w:rFonts w:eastAsia="Times New Roman" w:cs="Times New Roman"/>
        </w:rPr>
        <w:t xml:space="preserve"> zur Behandlung einer </w:t>
      </w:r>
      <w:hyperlink r:id="rId80" w:tooltip="Niereninsuffizienz" w:history="1">
        <w:r w:rsidRPr="00B121A2">
          <w:rPr>
            <w:rFonts w:eastAsia="Times New Roman" w:cs="Times New Roman"/>
          </w:rPr>
          <w:t>Niereninsuffizienz</w:t>
        </w:r>
      </w:hyperlink>
      <w:r w:rsidRPr="00B121A2">
        <w:rPr>
          <w:rFonts w:eastAsia="Times New Roman" w:cs="Times New Roman"/>
        </w:rPr>
        <w:t xml:space="preserve">. </w:t>
      </w:r>
    </w:p>
    <w:p w14:paraId="218658D5" w14:textId="77777777" w:rsidR="00B121A2" w:rsidRPr="00B121A2" w:rsidRDefault="00B121A2" w:rsidP="00B121A2">
      <w:pPr>
        <w:spacing w:after="0" w:line="240" w:lineRule="auto"/>
        <w:ind w:left="708"/>
        <w:outlineLvl w:val="2"/>
        <w:rPr>
          <w:rFonts w:eastAsia="Times New Roman" w:cs="Times New Roman"/>
          <w:b/>
          <w:bCs/>
        </w:rPr>
      </w:pPr>
      <w:r w:rsidRPr="00B121A2">
        <w:rPr>
          <w:rFonts w:eastAsia="Times New Roman" w:cs="Times New Roman"/>
          <w:b/>
          <w:bCs/>
        </w:rPr>
        <w:t>2 Funktionsweise</w:t>
      </w:r>
    </w:p>
    <w:p w14:paraId="3A0A9715" w14:textId="77777777" w:rsidR="00B121A2" w:rsidRPr="00B121A2" w:rsidRDefault="00B121A2" w:rsidP="00B121A2">
      <w:pPr>
        <w:spacing w:after="0" w:line="240" w:lineRule="auto"/>
        <w:ind w:left="708"/>
        <w:rPr>
          <w:rFonts w:eastAsia="Times New Roman" w:cs="Times New Roman"/>
        </w:rPr>
      </w:pPr>
      <w:r w:rsidRPr="00B121A2">
        <w:rPr>
          <w:rFonts w:eastAsia="Times New Roman" w:cs="Times New Roman"/>
        </w:rPr>
        <w:t xml:space="preserve">Die </w:t>
      </w:r>
      <w:hyperlink r:id="rId81" w:tooltip="Dialyse" w:history="1">
        <w:r w:rsidRPr="00B121A2">
          <w:rPr>
            <w:rFonts w:eastAsia="Times New Roman" w:cs="Times New Roman"/>
          </w:rPr>
          <w:t>Dialyse</w:t>
        </w:r>
      </w:hyperlink>
      <w:r w:rsidRPr="00B121A2">
        <w:rPr>
          <w:rFonts w:eastAsia="Times New Roman" w:cs="Times New Roman"/>
        </w:rPr>
        <w:t xml:space="preserve"> erfolgt mit dem </w:t>
      </w:r>
      <w:hyperlink r:id="rId82" w:tooltip="Peritoneum" w:history="1">
        <w:r w:rsidRPr="00B121A2">
          <w:rPr>
            <w:rFonts w:eastAsia="Times New Roman" w:cs="Times New Roman"/>
          </w:rPr>
          <w:t>Peritoneum</w:t>
        </w:r>
      </w:hyperlink>
      <w:r w:rsidRPr="00B121A2">
        <w:rPr>
          <w:rFonts w:eastAsia="Times New Roman" w:cs="Times New Roman"/>
        </w:rPr>
        <w:t xml:space="preserve"> als Dialysemembran. Durch Einlassen von </w:t>
      </w:r>
      <w:hyperlink r:id="rId83" w:tooltip="Dialysat" w:history="1">
        <w:r w:rsidRPr="00B121A2">
          <w:rPr>
            <w:rFonts w:eastAsia="Times New Roman" w:cs="Times New Roman"/>
          </w:rPr>
          <w:t>Dialysat</w:t>
        </w:r>
      </w:hyperlink>
      <w:r w:rsidRPr="00B121A2">
        <w:rPr>
          <w:rFonts w:eastAsia="Times New Roman" w:cs="Times New Roman"/>
        </w:rPr>
        <w:t xml:space="preserve"> in die </w:t>
      </w:r>
      <w:hyperlink r:id="rId84" w:tooltip="Bauchhöhle" w:history="1">
        <w:r w:rsidRPr="00B121A2">
          <w:rPr>
            <w:rFonts w:eastAsia="Times New Roman" w:cs="Times New Roman"/>
          </w:rPr>
          <w:t>Bauchhöhle</w:t>
        </w:r>
      </w:hyperlink>
      <w:r w:rsidRPr="00B121A2">
        <w:rPr>
          <w:rFonts w:eastAsia="Times New Roman" w:cs="Times New Roman"/>
        </w:rPr>
        <w:t xml:space="preserve"> wird das Peritoneum als </w:t>
      </w:r>
      <w:hyperlink r:id="rId85" w:tooltip="Semipermeable Membran" w:history="1">
        <w:r w:rsidRPr="00B121A2">
          <w:rPr>
            <w:rFonts w:eastAsia="Times New Roman" w:cs="Times New Roman"/>
          </w:rPr>
          <w:t>semipermeable Membran</w:t>
        </w:r>
      </w:hyperlink>
      <w:r w:rsidRPr="00B121A2">
        <w:rPr>
          <w:rFonts w:eastAsia="Times New Roman" w:cs="Times New Roman"/>
        </w:rPr>
        <w:t xml:space="preserve"> zur Ausschwemmung ausscheidungspflichtiger Substanzen verwendet. </w:t>
      </w:r>
    </w:p>
    <w:p w14:paraId="4352C0D8" w14:textId="77777777" w:rsidR="00B121A2" w:rsidRPr="00B121A2" w:rsidRDefault="00B121A2" w:rsidP="00B121A2">
      <w:pPr>
        <w:spacing w:after="0" w:line="240" w:lineRule="auto"/>
        <w:ind w:left="708"/>
        <w:rPr>
          <w:rFonts w:eastAsia="Times New Roman" w:cs="Times New Roman"/>
        </w:rPr>
      </w:pPr>
      <w:r w:rsidRPr="00B121A2">
        <w:rPr>
          <w:rFonts w:eastAsia="Times New Roman" w:cs="Times New Roman"/>
        </w:rPr>
        <w:t xml:space="preserve">Der Stofftransport wird dabei durch </w:t>
      </w:r>
      <w:hyperlink r:id="rId86" w:tooltip="Diffusion" w:history="1">
        <w:r w:rsidRPr="00B121A2">
          <w:rPr>
            <w:rFonts w:eastAsia="Times New Roman" w:cs="Times New Roman"/>
          </w:rPr>
          <w:t>Diffusion</w:t>
        </w:r>
      </w:hyperlink>
      <w:r w:rsidRPr="00B121A2">
        <w:rPr>
          <w:rFonts w:eastAsia="Times New Roman" w:cs="Times New Roman"/>
        </w:rPr>
        <w:t xml:space="preserve"> angetrieben. Um die Diffusion zu ermöglichen wird durch die Anwendung von </w:t>
      </w:r>
      <w:hyperlink r:id="rId87" w:tooltip="Glukosel (Seite nicht vorhanden)" w:history="1">
        <w:r w:rsidRPr="00B121A2">
          <w:rPr>
            <w:rFonts w:eastAsia="Times New Roman" w:cs="Times New Roman"/>
          </w:rPr>
          <w:t>Glukoselösungen</w:t>
        </w:r>
      </w:hyperlink>
      <w:r w:rsidRPr="00B121A2">
        <w:rPr>
          <w:rFonts w:eastAsia="Times New Roman" w:cs="Times New Roman"/>
        </w:rPr>
        <w:t xml:space="preserve"> unterschiedlicher </w:t>
      </w:r>
      <w:hyperlink r:id="rId88" w:tooltip="Osmolarität" w:history="1">
        <w:r w:rsidRPr="00B121A2">
          <w:rPr>
            <w:rFonts w:eastAsia="Times New Roman" w:cs="Times New Roman"/>
          </w:rPr>
          <w:t>Osmolarität</w:t>
        </w:r>
      </w:hyperlink>
      <w:r w:rsidRPr="00B121A2">
        <w:rPr>
          <w:rFonts w:eastAsia="Times New Roman" w:cs="Times New Roman"/>
        </w:rPr>
        <w:t xml:space="preserve"> ein </w:t>
      </w:r>
      <w:hyperlink r:id="rId89" w:tooltip="Osmotischer Gradient (Seite nicht vorhanden)" w:history="1">
        <w:r w:rsidRPr="00B121A2">
          <w:rPr>
            <w:rFonts w:eastAsia="Times New Roman" w:cs="Times New Roman"/>
          </w:rPr>
          <w:t>osmotischer Gradient</w:t>
        </w:r>
      </w:hyperlink>
      <w:r w:rsidRPr="00B121A2">
        <w:rPr>
          <w:rFonts w:eastAsia="Times New Roman" w:cs="Times New Roman"/>
        </w:rPr>
        <w:t xml:space="preserve"> aufgebaut. </w:t>
      </w:r>
    </w:p>
    <w:p w14:paraId="58BCEB7E" w14:textId="77777777" w:rsidR="00B121A2" w:rsidRPr="00B121A2" w:rsidRDefault="00B121A2" w:rsidP="00B121A2">
      <w:pPr>
        <w:spacing w:after="0" w:line="240" w:lineRule="auto"/>
        <w:ind w:left="708"/>
        <w:rPr>
          <w:rFonts w:eastAsia="Times New Roman" w:cs="Times New Roman"/>
        </w:rPr>
      </w:pPr>
      <w:r w:rsidRPr="00B121A2">
        <w:rPr>
          <w:rFonts w:eastAsia="Times New Roman" w:cs="Times New Roman"/>
        </w:rPr>
        <w:t xml:space="preserve">Gegenüber der </w:t>
      </w:r>
      <w:hyperlink r:id="rId90" w:tooltip="Hämodialyse" w:history="1">
        <w:r w:rsidRPr="00B121A2">
          <w:rPr>
            <w:rFonts w:eastAsia="Times New Roman" w:cs="Times New Roman"/>
          </w:rPr>
          <w:t>Hämodialyse</w:t>
        </w:r>
      </w:hyperlink>
      <w:r w:rsidRPr="00B121A2">
        <w:rPr>
          <w:rFonts w:eastAsia="Times New Roman" w:cs="Times New Roman"/>
        </w:rPr>
        <w:t xml:space="preserve"> weist die Peritonealdialyse in der Wirkung folgende Unterschiede in der Wirksamkeit auf: </w:t>
      </w:r>
    </w:p>
    <w:p w14:paraId="62A3367C" w14:textId="77777777" w:rsidR="00B121A2" w:rsidRPr="00B121A2" w:rsidRDefault="00B121A2" w:rsidP="00B121A2">
      <w:pPr>
        <w:numPr>
          <w:ilvl w:val="0"/>
          <w:numId w:val="17"/>
        </w:numPr>
        <w:tabs>
          <w:tab w:val="clear" w:pos="720"/>
          <w:tab w:val="num" w:pos="1428"/>
        </w:tabs>
        <w:spacing w:after="0" w:line="240" w:lineRule="auto"/>
        <w:ind w:left="1128"/>
        <w:rPr>
          <w:rFonts w:eastAsia="Times New Roman" w:cs="Times New Roman"/>
        </w:rPr>
      </w:pPr>
      <w:r w:rsidRPr="00B121A2">
        <w:rPr>
          <w:rFonts w:eastAsia="Times New Roman" w:cs="Times New Roman"/>
        </w:rPr>
        <w:t xml:space="preserve">Die Ausscheidung von </w:t>
      </w:r>
      <w:hyperlink r:id="rId91" w:tooltip="Harnstoff" w:history="1">
        <w:r w:rsidRPr="00B121A2">
          <w:rPr>
            <w:rFonts w:eastAsia="Times New Roman" w:cs="Times New Roman"/>
          </w:rPr>
          <w:t>Harnstoff</w:t>
        </w:r>
      </w:hyperlink>
      <w:r w:rsidRPr="00B121A2">
        <w:rPr>
          <w:rFonts w:eastAsia="Times New Roman" w:cs="Times New Roman"/>
        </w:rPr>
        <w:t xml:space="preserve"> und </w:t>
      </w:r>
      <w:hyperlink r:id="rId92" w:tooltip="Kreatinin" w:history="1">
        <w:r w:rsidRPr="00B121A2">
          <w:rPr>
            <w:rFonts w:eastAsia="Times New Roman" w:cs="Times New Roman"/>
          </w:rPr>
          <w:t>Kreatinin</w:t>
        </w:r>
      </w:hyperlink>
      <w:r w:rsidRPr="00B121A2">
        <w:rPr>
          <w:rFonts w:eastAsia="Times New Roman" w:cs="Times New Roman"/>
        </w:rPr>
        <w:t xml:space="preserve"> ist geringer </w:t>
      </w:r>
    </w:p>
    <w:p w14:paraId="2A6E1A99" w14:textId="77777777" w:rsidR="00B121A2" w:rsidRPr="00B121A2" w:rsidRDefault="00B121A2" w:rsidP="00B121A2">
      <w:pPr>
        <w:numPr>
          <w:ilvl w:val="0"/>
          <w:numId w:val="17"/>
        </w:numPr>
        <w:tabs>
          <w:tab w:val="clear" w:pos="720"/>
          <w:tab w:val="num" w:pos="1428"/>
        </w:tabs>
        <w:spacing w:after="0" w:line="240" w:lineRule="auto"/>
        <w:ind w:left="1128"/>
        <w:rPr>
          <w:rFonts w:eastAsia="Times New Roman" w:cs="Times New Roman"/>
        </w:rPr>
      </w:pPr>
      <w:r w:rsidRPr="00B121A2">
        <w:rPr>
          <w:rFonts w:eastAsia="Times New Roman" w:cs="Times New Roman"/>
        </w:rPr>
        <w:t xml:space="preserve">Es kommt über das Peritoneum zu einer vermehrten Ausscheidung von </w:t>
      </w:r>
      <w:hyperlink r:id="rId93" w:tooltip="Protein" w:history="1">
        <w:r w:rsidRPr="00B121A2">
          <w:rPr>
            <w:rFonts w:eastAsia="Times New Roman" w:cs="Times New Roman"/>
          </w:rPr>
          <w:t>Proteinen</w:t>
        </w:r>
      </w:hyperlink>
      <w:r w:rsidRPr="00B121A2">
        <w:rPr>
          <w:rFonts w:eastAsia="Times New Roman" w:cs="Times New Roman"/>
        </w:rPr>
        <w:t xml:space="preserve"> (ca. 10 g/d) </w:t>
      </w:r>
    </w:p>
    <w:p w14:paraId="5CFF3A78" w14:textId="77777777" w:rsidR="00B121A2" w:rsidRPr="00B121A2" w:rsidRDefault="00B121A2" w:rsidP="00B121A2">
      <w:pPr>
        <w:spacing w:after="0" w:line="240" w:lineRule="auto"/>
        <w:ind w:left="708"/>
        <w:rPr>
          <w:rFonts w:eastAsia="Times New Roman" w:cs="Times New Roman"/>
        </w:rPr>
      </w:pPr>
      <w:r w:rsidRPr="00B121A2">
        <w:rPr>
          <w:rFonts w:eastAsia="Times New Roman" w:cs="Times New Roman"/>
        </w:rPr>
        <w:t xml:space="preserve">Daher muss eine Peritonealdialyse täglich erfolgen, während bei der Hämodialyse 2-3 Sitzungen pro Woche ausreichen. </w:t>
      </w:r>
    </w:p>
    <w:p w14:paraId="4672F418" w14:textId="77777777" w:rsidR="00B121A2" w:rsidRPr="00B121A2" w:rsidRDefault="00B121A2" w:rsidP="00B121A2">
      <w:pPr>
        <w:spacing w:after="0" w:line="240" w:lineRule="auto"/>
        <w:ind w:left="708"/>
        <w:outlineLvl w:val="2"/>
        <w:rPr>
          <w:rFonts w:eastAsia="Times New Roman" w:cs="Times New Roman"/>
          <w:b/>
          <w:bCs/>
        </w:rPr>
      </w:pPr>
      <w:r w:rsidRPr="00B121A2">
        <w:rPr>
          <w:rFonts w:eastAsia="Times New Roman" w:cs="Times New Roman"/>
          <w:b/>
          <w:bCs/>
        </w:rPr>
        <w:t>3 Technik</w:t>
      </w:r>
    </w:p>
    <w:p w14:paraId="430B2924" w14:textId="77777777" w:rsidR="00B121A2" w:rsidRPr="00B121A2" w:rsidRDefault="00B121A2" w:rsidP="00B121A2">
      <w:pPr>
        <w:spacing w:after="0" w:line="240" w:lineRule="auto"/>
        <w:ind w:left="708"/>
        <w:rPr>
          <w:rFonts w:eastAsia="Times New Roman" w:cs="Times New Roman"/>
        </w:rPr>
      </w:pPr>
      <w:r w:rsidRPr="00B121A2">
        <w:rPr>
          <w:rFonts w:eastAsia="Times New Roman" w:cs="Times New Roman"/>
        </w:rPr>
        <w:t xml:space="preserve">Zur Ermöglichung einer Peritoenaldialyse muss ein kontinuierlicher Zugang zur Bauchhöhle geschaffen werden. Dazu wird ein </w:t>
      </w:r>
      <w:hyperlink r:id="rId94" w:tooltip="Katheter" w:history="1">
        <w:r w:rsidRPr="00B121A2">
          <w:rPr>
            <w:rFonts w:eastAsia="Times New Roman" w:cs="Times New Roman"/>
          </w:rPr>
          <w:t>Kathetersystem</w:t>
        </w:r>
      </w:hyperlink>
      <w:r w:rsidRPr="00B121A2">
        <w:rPr>
          <w:rFonts w:eastAsia="Times New Roman" w:cs="Times New Roman"/>
        </w:rPr>
        <w:t xml:space="preserve"> implantiert, welches durch </w:t>
      </w:r>
      <w:hyperlink r:id="rId95" w:tooltip="Subkutan" w:history="1">
        <w:r w:rsidRPr="00B121A2">
          <w:rPr>
            <w:rFonts w:eastAsia="Times New Roman" w:cs="Times New Roman"/>
          </w:rPr>
          <w:t>subkutane</w:t>
        </w:r>
      </w:hyperlink>
      <w:r w:rsidRPr="00B121A2">
        <w:rPr>
          <w:rFonts w:eastAsia="Times New Roman" w:cs="Times New Roman"/>
        </w:rPr>
        <w:t xml:space="preserve"> Tunnelung in die Bauchhöhle geführt wird. Genutzt werden unter anderem folgende Kathetersysteme: </w:t>
      </w:r>
    </w:p>
    <w:p w14:paraId="1E361D8D" w14:textId="77777777" w:rsidR="00B121A2" w:rsidRPr="00B121A2" w:rsidRDefault="00C82ED7" w:rsidP="00B121A2">
      <w:pPr>
        <w:numPr>
          <w:ilvl w:val="0"/>
          <w:numId w:val="18"/>
        </w:numPr>
        <w:tabs>
          <w:tab w:val="clear" w:pos="720"/>
          <w:tab w:val="num" w:pos="1428"/>
        </w:tabs>
        <w:spacing w:after="0" w:line="240" w:lineRule="auto"/>
        <w:ind w:left="1128"/>
        <w:rPr>
          <w:rFonts w:eastAsia="Times New Roman" w:cs="Times New Roman"/>
        </w:rPr>
      </w:pPr>
      <w:hyperlink r:id="rId96" w:tooltip="Tenckhoff-Katheter (Seite nicht vorhanden)" w:history="1">
        <w:r w:rsidR="00B121A2" w:rsidRPr="00B121A2">
          <w:rPr>
            <w:rFonts w:eastAsia="Times New Roman" w:cs="Times New Roman"/>
          </w:rPr>
          <w:t>Tenckhoff-Katheter</w:t>
        </w:r>
      </w:hyperlink>
      <w:r w:rsidR="00B121A2" w:rsidRPr="00B121A2">
        <w:rPr>
          <w:rFonts w:eastAsia="Times New Roman" w:cs="Times New Roman"/>
        </w:rPr>
        <w:t xml:space="preserve"> </w:t>
      </w:r>
    </w:p>
    <w:p w14:paraId="1D186B0A" w14:textId="77777777" w:rsidR="00B121A2" w:rsidRPr="00B121A2" w:rsidRDefault="00C82ED7" w:rsidP="00B121A2">
      <w:pPr>
        <w:numPr>
          <w:ilvl w:val="0"/>
          <w:numId w:val="18"/>
        </w:numPr>
        <w:tabs>
          <w:tab w:val="clear" w:pos="720"/>
          <w:tab w:val="num" w:pos="1428"/>
        </w:tabs>
        <w:spacing w:after="0" w:line="240" w:lineRule="auto"/>
        <w:ind w:left="1128"/>
        <w:rPr>
          <w:rFonts w:eastAsia="Times New Roman" w:cs="Times New Roman"/>
        </w:rPr>
      </w:pPr>
      <w:hyperlink r:id="rId97" w:tooltip="Swan-Neck-Katheter (Seite nicht vorhanden)" w:history="1">
        <w:r w:rsidR="00B121A2" w:rsidRPr="00B121A2">
          <w:rPr>
            <w:rFonts w:eastAsia="Times New Roman" w:cs="Times New Roman"/>
          </w:rPr>
          <w:t>Swan-Neck-Katheter</w:t>
        </w:r>
      </w:hyperlink>
      <w:r w:rsidR="00B121A2" w:rsidRPr="00B121A2">
        <w:rPr>
          <w:rFonts w:eastAsia="Times New Roman" w:cs="Times New Roman"/>
        </w:rPr>
        <w:t xml:space="preserve"> </w:t>
      </w:r>
    </w:p>
    <w:p w14:paraId="4CCF16AE" w14:textId="77777777" w:rsidR="00B121A2" w:rsidRPr="00B121A2" w:rsidRDefault="00C82ED7" w:rsidP="00B121A2">
      <w:pPr>
        <w:numPr>
          <w:ilvl w:val="0"/>
          <w:numId w:val="18"/>
        </w:numPr>
        <w:tabs>
          <w:tab w:val="clear" w:pos="720"/>
          <w:tab w:val="num" w:pos="1428"/>
        </w:tabs>
        <w:spacing w:after="0" w:line="240" w:lineRule="auto"/>
        <w:ind w:left="1128"/>
        <w:rPr>
          <w:rFonts w:eastAsia="Times New Roman" w:cs="Times New Roman"/>
        </w:rPr>
      </w:pPr>
      <w:hyperlink r:id="rId98" w:tooltip="TWH-Katheter (Seite nicht vorhanden)" w:history="1">
        <w:r w:rsidR="00B121A2" w:rsidRPr="00B121A2">
          <w:rPr>
            <w:rFonts w:eastAsia="Times New Roman" w:cs="Times New Roman"/>
          </w:rPr>
          <w:t>TWH-Katheter</w:t>
        </w:r>
      </w:hyperlink>
      <w:r w:rsidR="00B121A2" w:rsidRPr="00B121A2">
        <w:rPr>
          <w:rFonts w:eastAsia="Times New Roman" w:cs="Times New Roman"/>
        </w:rPr>
        <w:t xml:space="preserve"> </w:t>
      </w:r>
    </w:p>
    <w:p w14:paraId="3FA5E5F5" w14:textId="77777777" w:rsidR="00B121A2" w:rsidRPr="00B121A2" w:rsidRDefault="00B121A2" w:rsidP="00B121A2">
      <w:pPr>
        <w:spacing w:after="0" w:line="240" w:lineRule="auto"/>
        <w:ind w:left="708"/>
        <w:rPr>
          <w:rFonts w:eastAsia="Times New Roman" w:cs="Times New Roman"/>
        </w:rPr>
      </w:pPr>
      <w:r w:rsidRPr="00B121A2">
        <w:rPr>
          <w:rFonts w:eastAsia="Times New Roman" w:cs="Times New Roman"/>
        </w:rPr>
        <w:t xml:space="preserve">Die Katheterspitze kommt in der Bauchhöhle im Bereich des kleinen </w:t>
      </w:r>
      <w:hyperlink r:id="rId99" w:tooltip="Becken" w:history="1">
        <w:r w:rsidRPr="00B121A2">
          <w:rPr>
            <w:rFonts w:eastAsia="Times New Roman" w:cs="Times New Roman"/>
          </w:rPr>
          <w:t>Beckens</w:t>
        </w:r>
      </w:hyperlink>
      <w:r w:rsidRPr="00B121A2">
        <w:rPr>
          <w:rFonts w:eastAsia="Times New Roman" w:cs="Times New Roman"/>
        </w:rPr>
        <w:t xml:space="preserve"> zu liegen. Die Kathetereintrittsstelle wird bei der Implantation derart präpariert, dass Klammern aus gewebeaffinen Materialen (z.B. </w:t>
      </w:r>
      <w:hyperlink r:id="rId100" w:tooltip="Dacron" w:history="1">
        <w:r w:rsidRPr="00B121A2">
          <w:rPr>
            <w:rFonts w:eastAsia="Times New Roman" w:cs="Times New Roman"/>
          </w:rPr>
          <w:t>Dacron</w:t>
        </w:r>
      </w:hyperlink>
      <w:r w:rsidRPr="00B121A2">
        <w:rPr>
          <w:rFonts w:eastAsia="Times New Roman" w:cs="Times New Roman"/>
        </w:rPr>
        <w:t xml:space="preserve">) subkutan mit der Außenseite des Katheters verwachsen. Dadurch wird die Bauchhöhle gegenüber der Außenwelt abgedichtet. </w:t>
      </w:r>
    </w:p>
    <w:p w14:paraId="5A73AC30" w14:textId="77777777" w:rsidR="00B121A2" w:rsidRPr="00B121A2" w:rsidRDefault="00B121A2" w:rsidP="00B121A2">
      <w:pPr>
        <w:spacing w:after="0" w:line="240" w:lineRule="auto"/>
        <w:ind w:left="708"/>
        <w:rPr>
          <w:rFonts w:eastAsia="Times New Roman" w:cs="Times New Roman"/>
        </w:rPr>
      </w:pPr>
      <w:r w:rsidRPr="00B121A2">
        <w:rPr>
          <w:rFonts w:eastAsia="Times New Roman" w:cs="Times New Roman"/>
        </w:rPr>
        <w:t xml:space="preserve">Die Dialyselösung wird über ein steriles Schlauchsystem in die Bauchhöhle eingelassen und je nach angewendetem Verfahren nach bestimmten Zeiten wieder abgelassen. </w:t>
      </w:r>
    </w:p>
    <w:p w14:paraId="22A19285" w14:textId="77777777" w:rsidR="00B121A2" w:rsidRPr="00B121A2" w:rsidRDefault="00B121A2" w:rsidP="00B121A2">
      <w:pPr>
        <w:spacing w:after="0" w:line="240" w:lineRule="auto"/>
        <w:ind w:left="708"/>
        <w:outlineLvl w:val="2"/>
        <w:rPr>
          <w:rFonts w:eastAsia="Times New Roman" w:cs="Times New Roman"/>
          <w:b/>
          <w:bCs/>
        </w:rPr>
      </w:pPr>
      <w:r w:rsidRPr="00B121A2">
        <w:rPr>
          <w:rFonts w:eastAsia="Times New Roman" w:cs="Times New Roman"/>
          <w:b/>
          <w:bCs/>
        </w:rPr>
        <w:t>4 Formen der Peritonealdialyse</w:t>
      </w:r>
    </w:p>
    <w:p w14:paraId="2B7EAD11" w14:textId="77777777" w:rsidR="00B121A2" w:rsidRPr="00B121A2" w:rsidRDefault="00B121A2" w:rsidP="00B121A2">
      <w:pPr>
        <w:spacing w:after="0" w:line="240" w:lineRule="auto"/>
        <w:ind w:left="708"/>
        <w:rPr>
          <w:rFonts w:eastAsia="Times New Roman" w:cs="Times New Roman"/>
        </w:rPr>
      </w:pPr>
      <w:r w:rsidRPr="00B121A2">
        <w:rPr>
          <w:rFonts w:eastAsia="Times New Roman" w:cs="Times New Roman"/>
        </w:rPr>
        <w:t xml:space="preserve">Es stehen verschiedene Anwendungsschemata für die Peritonealdialyse zur Verfügung. Dabei kommt die für den jeweiligen Patienten am besten durchführbare Methode zum Einsatz. </w:t>
      </w:r>
    </w:p>
    <w:p w14:paraId="35C23A38" w14:textId="77777777" w:rsidR="00B121A2" w:rsidRDefault="00C82ED7" w:rsidP="00B121A2">
      <w:pPr>
        <w:numPr>
          <w:ilvl w:val="0"/>
          <w:numId w:val="19"/>
        </w:numPr>
        <w:tabs>
          <w:tab w:val="clear" w:pos="720"/>
          <w:tab w:val="num" w:pos="1428"/>
        </w:tabs>
        <w:spacing w:after="0" w:line="240" w:lineRule="auto"/>
        <w:ind w:left="1128"/>
        <w:rPr>
          <w:rFonts w:eastAsia="Times New Roman" w:cs="Times New Roman"/>
        </w:rPr>
      </w:pPr>
      <w:hyperlink r:id="rId101" w:tooltip="Kontinuierliche zyklische Peritonealdialyse" w:history="1">
        <w:r w:rsidR="00B121A2" w:rsidRPr="00B121A2">
          <w:rPr>
            <w:rFonts w:eastAsia="Times New Roman" w:cs="Times New Roman"/>
          </w:rPr>
          <w:t>Kontinuierliche zyklische Peritonealdialyse</w:t>
        </w:r>
      </w:hyperlink>
      <w:r w:rsidR="00B121A2" w:rsidRPr="00B121A2">
        <w:rPr>
          <w:rFonts w:eastAsia="Times New Roman" w:cs="Times New Roman"/>
        </w:rPr>
        <w:t xml:space="preserve"> (</w:t>
      </w:r>
      <w:hyperlink r:id="rId102" w:tooltip="CCPD" w:history="1">
        <w:r w:rsidR="00B121A2" w:rsidRPr="00B121A2">
          <w:rPr>
            <w:rFonts w:eastAsia="Times New Roman" w:cs="Times New Roman"/>
          </w:rPr>
          <w:t>CCPD</w:t>
        </w:r>
      </w:hyperlink>
      <w:r w:rsidR="00B121A2" w:rsidRPr="00B121A2">
        <w:rPr>
          <w:rFonts w:eastAsia="Times New Roman" w:cs="Times New Roman"/>
        </w:rPr>
        <w:t xml:space="preserve">) </w:t>
      </w:r>
    </w:p>
    <w:p w14:paraId="77405666" w14:textId="77777777" w:rsidR="00C9226F" w:rsidRDefault="00C9226F" w:rsidP="00C9226F">
      <w:pPr>
        <w:numPr>
          <w:ilvl w:val="1"/>
          <w:numId w:val="19"/>
        </w:numPr>
        <w:spacing w:after="0" w:line="240" w:lineRule="auto"/>
        <w:rPr>
          <w:rFonts w:eastAsia="Times New Roman" w:cs="Times New Roman"/>
        </w:rPr>
      </w:pPr>
      <w:r>
        <w:rPr>
          <w:rFonts w:eastAsia="Times New Roman" w:cs="Times New Roman"/>
        </w:rPr>
        <w:t>Dialysatwechchel 4-5x täglich manuell</w:t>
      </w:r>
    </w:p>
    <w:p w14:paraId="7A3F8202" w14:textId="77777777" w:rsidR="00C9226F" w:rsidRPr="00B121A2" w:rsidRDefault="00C9226F" w:rsidP="00C9226F">
      <w:pPr>
        <w:numPr>
          <w:ilvl w:val="1"/>
          <w:numId w:val="19"/>
        </w:numPr>
        <w:spacing w:after="0" w:line="240" w:lineRule="auto"/>
        <w:rPr>
          <w:rFonts w:eastAsia="Times New Roman" w:cs="Times New Roman"/>
        </w:rPr>
      </w:pPr>
      <w:r>
        <w:rPr>
          <w:rFonts w:eastAsia="Times New Roman" w:cs="Times New Roman"/>
        </w:rPr>
        <w:t>Peritoneum ist ständig Dialysat gefüllt &lt;-&gt; APD: automatisiert, gewöhnlich nachts</w:t>
      </w:r>
    </w:p>
    <w:p w14:paraId="716B89C6" w14:textId="77777777" w:rsidR="00D41B7C" w:rsidRPr="00B121A2" w:rsidRDefault="00D41B7C" w:rsidP="00B121A2">
      <w:pPr>
        <w:spacing w:after="0" w:line="240" w:lineRule="auto"/>
      </w:pPr>
    </w:p>
    <w:p w14:paraId="4591654B" w14:textId="77777777" w:rsidR="00D41B7C" w:rsidRPr="00B121A2" w:rsidRDefault="00D41B7C" w:rsidP="00B121A2">
      <w:pPr>
        <w:spacing w:after="0" w:line="240" w:lineRule="auto"/>
      </w:pPr>
    </w:p>
    <w:p w14:paraId="75E7CB87" w14:textId="77777777" w:rsidR="00CB2148" w:rsidRPr="00CB2148" w:rsidRDefault="00CB2148" w:rsidP="00775A4F">
      <w:pPr>
        <w:spacing w:after="0"/>
        <w:rPr>
          <w:b/>
          <w:sz w:val="26"/>
          <w:szCs w:val="26"/>
        </w:rPr>
      </w:pPr>
      <w:r w:rsidRPr="00CB2148">
        <w:rPr>
          <w:b/>
          <w:sz w:val="26"/>
          <w:szCs w:val="26"/>
        </w:rPr>
        <w:t>Niere III</w:t>
      </w:r>
    </w:p>
    <w:p w14:paraId="5877FFB7" w14:textId="77777777" w:rsidR="00CB2148" w:rsidRPr="00CB2148" w:rsidRDefault="00CB2148" w:rsidP="00CB2148">
      <w:pPr>
        <w:spacing w:after="0"/>
        <w:rPr>
          <w:color w:val="C45911" w:themeColor="accent2" w:themeShade="BF"/>
          <w:sz w:val="26"/>
          <w:szCs w:val="26"/>
        </w:rPr>
      </w:pPr>
      <w:r>
        <w:rPr>
          <w:color w:val="C45911" w:themeColor="accent2" w:themeShade="BF"/>
          <w:sz w:val="26"/>
          <w:szCs w:val="26"/>
        </w:rPr>
        <w:t>Regulation der renalen Na</w:t>
      </w:r>
      <w:r>
        <w:rPr>
          <w:color w:val="C45911" w:themeColor="accent2" w:themeShade="BF"/>
          <w:sz w:val="26"/>
          <w:szCs w:val="26"/>
          <w:vertAlign w:val="superscript"/>
        </w:rPr>
        <w:t>+</w:t>
      </w:r>
      <w:r>
        <w:rPr>
          <w:color w:val="C45911" w:themeColor="accent2" w:themeShade="BF"/>
          <w:sz w:val="26"/>
          <w:szCs w:val="26"/>
        </w:rPr>
        <w:t xml:space="preserve"> und H</w:t>
      </w:r>
      <w:r>
        <w:rPr>
          <w:color w:val="C45911" w:themeColor="accent2" w:themeShade="BF"/>
          <w:sz w:val="26"/>
          <w:szCs w:val="26"/>
          <w:vertAlign w:val="subscript"/>
        </w:rPr>
        <w:t>2</w:t>
      </w:r>
      <w:r>
        <w:rPr>
          <w:color w:val="C45911" w:themeColor="accent2" w:themeShade="BF"/>
          <w:sz w:val="26"/>
          <w:szCs w:val="26"/>
        </w:rPr>
        <w:t>O-Retention im Sammelrohr einschließlich der beteiligten Hormone zu erläutern.</w:t>
      </w:r>
    </w:p>
    <w:p w14:paraId="0E99EB1F" w14:textId="16E0B2FE" w:rsidR="00CB2148" w:rsidRDefault="007204D4" w:rsidP="00775A4F">
      <w:pPr>
        <w:spacing w:after="0"/>
      </w:pPr>
      <w:r>
        <w:rPr>
          <w:noProof/>
          <w:lang w:val="en-US"/>
        </w:rPr>
        <w:drawing>
          <wp:inline distT="0" distB="0" distL="0" distR="0" wp14:anchorId="0083ED31" wp14:editId="444E9CC3">
            <wp:extent cx="4655694" cy="316230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80E846.tmp"/>
                    <pic:cNvPicPr/>
                  </pic:nvPicPr>
                  <pic:blipFill>
                    <a:blip r:embed="rId103">
                      <a:extLst>
                        <a:ext uri="{28A0092B-C50C-407E-A947-70E740481C1C}">
                          <a14:useLocalDpi xmlns:a14="http://schemas.microsoft.com/office/drawing/2010/main" val="0"/>
                        </a:ext>
                      </a:extLst>
                    </a:blip>
                    <a:stretch>
                      <a:fillRect/>
                    </a:stretch>
                  </pic:blipFill>
                  <pic:spPr>
                    <a:xfrm>
                      <a:off x="0" y="0"/>
                      <a:ext cx="4657056" cy="3163225"/>
                    </a:xfrm>
                    <a:prstGeom prst="rect">
                      <a:avLst/>
                    </a:prstGeom>
                  </pic:spPr>
                </pic:pic>
              </a:graphicData>
            </a:graphic>
          </wp:inline>
        </w:drawing>
      </w:r>
    </w:p>
    <w:p w14:paraId="453F7F0F" w14:textId="1E64AD3B" w:rsidR="007204D4" w:rsidRDefault="007204D4" w:rsidP="00775A4F">
      <w:pPr>
        <w:spacing w:after="0"/>
      </w:pPr>
    </w:p>
    <w:p w14:paraId="175681A9" w14:textId="73426CA4" w:rsidR="00296872" w:rsidRDefault="00296872" w:rsidP="00775A4F">
      <w:pPr>
        <w:spacing w:after="0"/>
      </w:pPr>
      <w:r>
        <w:rPr>
          <w:noProof/>
          <w:lang w:val="en-US"/>
        </w:rPr>
        <w:drawing>
          <wp:inline distT="0" distB="0" distL="0" distR="0" wp14:anchorId="3717C732" wp14:editId="48E6A61A">
            <wp:extent cx="3505200" cy="3509837"/>
            <wp:effectExtent l="0" t="0" r="0" b="0"/>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80AA55.tmp"/>
                    <pic:cNvPicPr/>
                  </pic:nvPicPr>
                  <pic:blipFill>
                    <a:blip r:embed="rId104">
                      <a:extLst>
                        <a:ext uri="{28A0092B-C50C-407E-A947-70E740481C1C}">
                          <a14:useLocalDpi xmlns:a14="http://schemas.microsoft.com/office/drawing/2010/main" val="0"/>
                        </a:ext>
                      </a:extLst>
                    </a:blip>
                    <a:stretch>
                      <a:fillRect/>
                    </a:stretch>
                  </pic:blipFill>
                  <pic:spPr>
                    <a:xfrm>
                      <a:off x="0" y="0"/>
                      <a:ext cx="3506754" cy="3511393"/>
                    </a:xfrm>
                    <a:prstGeom prst="rect">
                      <a:avLst/>
                    </a:prstGeom>
                  </pic:spPr>
                </pic:pic>
              </a:graphicData>
            </a:graphic>
          </wp:inline>
        </w:drawing>
      </w:r>
    </w:p>
    <w:p w14:paraId="1E43B7BA" w14:textId="77777777" w:rsidR="00296872" w:rsidRPr="007204D4" w:rsidRDefault="00296872" w:rsidP="00775A4F">
      <w:pPr>
        <w:spacing w:after="0"/>
      </w:pPr>
    </w:p>
    <w:p w14:paraId="3A73EF25" w14:textId="395A6BFC" w:rsidR="007204D4" w:rsidRPr="007204D4" w:rsidRDefault="007204D4" w:rsidP="00775A4F">
      <w:pPr>
        <w:spacing w:after="0"/>
      </w:pPr>
      <w:r w:rsidRPr="007204D4">
        <w:t>Aldosteronwirkung</w:t>
      </w:r>
    </w:p>
    <w:p w14:paraId="0AFC1720" w14:textId="49C09260" w:rsidR="007204D4" w:rsidRPr="007204D4" w:rsidRDefault="007204D4" w:rsidP="007204D4">
      <w:pPr>
        <w:autoSpaceDE w:val="0"/>
        <w:autoSpaceDN w:val="0"/>
        <w:adjustRightInd w:val="0"/>
        <w:spacing w:after="0" w:line="240" w:lineRule="auto"/>
        <w:rPr>
          <w:rFonts w:cs="Arial"/>
        </w:rPr>
      </w:pPr>
      <w:r>
        <w:rPr>
          <w:rFonts w:cs="Arial"/>
        </w:rPr>
        <w:t xml:space="preserve">-schnell (wenige h): verringerter Ausbau von </w:t>
      </w:r>
      <w:r w:rsidRPr="007204D4">
        <w:rPr>
          <w:rFonts w:cs="Arial"/>
        </w:rPr>
        <w:t>Na+</w:t>
      </w:r>
      <w:r>
        <w:rPr>
          <w:rFonts w:cs="Arial"/>
        </w:rPr>
        <w:t xml:space="preserve">-Kanälen aus der apikalen Membran erhöht </w:t>
      </w:r>
      <w:r w:rsidRPr="007204D4">
        <w:rPr>
          <w:rFonts w:cs="Arial"/>
        </w:rPr>
        <w:t>die Anzahl der Na+-Kanäle</w:t>
      </w:r>
    </w:p>
    <w:p w14:paraId="697528DF" w14:textId="7914BDD3" w:rsidR="007204D4" w:rsidRPr="007204D4" w:rsidRDefault="007204D4" w:rsidP="007204D4">
      <w:pPr>
        <w:autoSpaceDE w:val="0"/>
        <w:autoSpaceDN w:val="0"/>
        <w:adjustRightInd w:val="0"/>
        <w:spacing w:after="0" w:line="240" w:lineRule="auto"/>
        <w:rPr>
          <w:rFonts w:cs="Arial"/>
        </w:rPr>
      </w:pPr>
      <w:r>
        <w:rPr>
          <w:rFonts w:cs="Arial"/>
        </w:rPr>
        <w:t xml:space="preserve">-intermediär (0.5-1 d): vermehrte Expression von Pumpen- und Kanal- </w:t>
      </w:r>
      <w:r w:rsidRPr="007204D4">
        <w:rPr>
          <w:rFonts w:cs="Arial"/>
        </w:rPr>
        <w:t>Untereinheiten</w:t>
      </w:r>
    </w:p>
    <w:p w14:paraId="41DDBD5B" w14:textId="7BBC3CD2" w:rsidR="00CB2148" w:rsidRDefault="007204D4" w:rsidP="007204D4">
      <w:pPr>
        <w:autoSpaceDE w:val="0"/>
        <w:autoSpaceDN w:val="0"/>
        <w:adjustRightInd w:val="0"/>
        <w:spacing w:after="0" w:line="240" w:lineRule="auto"/>
        <w:rPr>
          <w:rFonts w:cs="Arial"/>
        </w:rPr>
      </w:pPr>
      <w:r>
        <w:rPr>
          <w:rFonts w:cs="Arial"/>
        </w:rPr>
        <w:t xml:space="preserve">-spät (2-3 d): Umbau der Zelle (basales Labyrinth zur </w:t>
      </w:r>
      <w:r w:rsidRPr="007204D4">
        <w:rPr>
          <w:rFonts w:cs="Arial"/>
        </w:rPr>
        <w:t>Oberflächenvergrößerung)</w:t>
      </w:r>
    </w:p>
    <w:p w14:paraId="7F763D38" w14:textId="2D123324" w:rsidR="007204D4" w:rsidRDefault="007204D4" w:rsidP="007204D4">
      <w:pPr>
        <w:autoSpaceDE w:val="0"/>
        <w:autoSpaceDN w:val="0"/>
        <w:adjustRightInd w:val="0"/>
        <w:spacing w:after="0" w:line="240" w:lineRule="auto"/>
        <w:rPr>
          <w:rFonts w:cs="Arial"/>
        </w:rPr>
      </w:pPr>
    </w:p>
    <w:p w14:paraId="2E40B0F0" w14:textId="0A7281BE" w:rsidR="007204D4" w:rsidRDefault="00C82ED7" w:rsidP="007204D4">
      <w:pPr>
        <w:autoSpaceDE w:val="0"/>
        <w:autoSpaceDN w:val="0"/>
        <w:adjustRightInd w:val="0"/>
        <w:spacing w:after="0" w:line="240" w:lineRule="auto"/>
        <w:rPr>
          <w:rFonts w:cs="Arial"/>
        </w:rPr>
      </w:pPr>
      <w:r>
        <w:rPr>
          <w:rFonts w:cs="Arial"/>
          <w:noProof/>
          <w:lang w:val="en-US"/>
        </w:rPr>
        <w:drawing>
          <wp:inline distT="0" distB="0" distL="0" distR="0" wp14:anchorId="65E81CFB" wp14:editId="59F14C23">
            <wp:extent cx="5760720" cy="3726815"/>
            <wp:effectExtent l="0" t="0" r="0" b="6985"/>
            <wp:docPr id="17"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B8022ED.tmp"/>
                    <pic:cNvPicPr/>
                  </pic:nvPicPr>
                  <pic:blipFill>
                    <a:blip r:embed="rId105">
                      <a:extLst>
                        <a:ext uri="{28A0092B-C50C-407E-A947-70E740481C1C}">
                          <a14:useLocalDpi xmlns:a14="http://schemas.microsoft.com/office/drawing/2010/main" val="0"/>
                        </a:ext>
                      </a:extLst>
                    </a:blip>
                    <a:stretch>
                      <a:fillRect/>
                    </a:stretch>
                  </pic:blipFill>
                  <pic:spPr>
                    <a:xfrm>
                      <a:off x="0" y="0"/>
                      <a:ext cx="5760720" cy="3726815"/>
                    </a:xfrm>
                    <a:prstGeom prst="rect">
                      <a:avLst/>
                    </a:prstGeom>
                  </pic:spPr>
                </pic:pic>
              </a:graphicData>
            </a:graphic>
          </wp:inline>
        </w:drawing>
      </w:r>
    </w:p>
    <w:p w14:paraId="135087E7" w14:textId="461EDDCA" w:rsidR="00C82ED7" w:rsidRDefault="00C82ED7" w:rsidP="007204D4">
      <w:pPr>
        <w:autoSpaceDE w:val="0"/>
        <w:autoSpaceDN w:val="0"/>
        <w:adjustRightInd w:val="0"/>
        <w:spacing w:after="0" w:line="240" w:lineRule="auto"/>
        <w:rPr>
          <w:rFonts w:cs="Arial"/>
        </w:rPr>
      </w:pPr>
    </w:p>
    <w:p w14:paraId="292F7376" w14:textId="77777777" w:rsidR="00C82ED7" w:rsidRPr="007204D4" w:rsidRDefault="00C82ED7" w:rsidP="007204D4">
      <w:pPr>
        <w:autoSpaceDE w:val="0"/>
        <w:autoSpaceDN w:val="0"/>
        <w:adjustRightInd w:val="0"/>
        <w:spacing w:after="0" w:line="240" w:lineRule="auto"/>
        <w:rPr>
          <w:rFonts w:cs="Arial"/>
        </w:rPr>
      </w:pPr>
      <w:bookmarkStart w:id="0" w:name="_GoBack"/>
      <w:bookmarkEnd w:id="0"/>
    </w:p>
    <w:p w14:paraId="72B635A1" w14:textId="77777777" w:rsidR="00CB2148" w:rsidRPr="00D73DCE" w:rsidRDefault="00CB2148" w:rsidP="00CB2148">
      <w:pPr>
        <w:spacing w:after="0"/>
        <w:rPr>
          <w:color w:val="C45911" w:themeColor="accent2" w:themeShade="BF"/>
          <w:sz w:val="26"/>
          <w:szCs w:val="26"/>
        </w:rPr>
      </w:pPr>
      <w:r>
        <w:rPr>
          <w:color w:val="C45911" w:themeColor="accent2" w:themeShade="BF"/>
          <w:sz w:val="26"/>
          <w:szCs w:val="26"/>
        </w:rPr>
        <w:t>Wirkung von Diuretika in den einzelnen Abschnitten des Nephrons zu beschreiben.</w:t>
      </w:r>
    </w:p>
    <w:p w14:paraId="53345F11" w14:textId="77777777" w:rsidR="00CB2148" w:rsidRPr="00985F62" w:rsidRDefault="005031F6" w:rsidP="00775A4F">
      <w:pPr>
        <w:spacing w:after="0"/>
      </w:pPr>
      <w:r>
        <w:rPr>
          <w:noProof/>
          <w:lang w:val="en-US"/>
        </w:rPr>
        <w:drawing>
          <wp:inline distT="0" distB="0" distL="0" distR="0">
            <wp:extent cx="3036854" cy="2854518"/>
            <wp:effectExtent l="0" t="0" r="0" b="3175"/>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C010C1.tmp"/>
                    <pic:cNvPicPr/>
                  </pic:nvPicPr>
                  <pic:blipFill>
                    <a:blip r:embed="rId106">
                      <a:extLst>
                        <a:ext uri="{28A0092B-C50C-407E-A947-70E740481C1C}">
                          <a14:useLocalDpi xmlns:a14="http://schemas.microsoft.com/office/drawing/2010/main" val="0"/>
                        </a:ext>
                      </a:extLst>
                    </a:blip>
                    <a:stretch>
                      <a:fillRect/>
                    </a:stretch>
                  </pic:blipFill>
                  <pic:spPr>
                    <a:xfrm>
                      <a:off x="0" y="0"/>
                      <a:ext cx="3043464" cy="2860731"/>
                    </a:xfrm>
                    <a:prstGeom prst="rect">
                      <a:avLst/>
                    </a:prstGeom>
                  </pic:spPr>
                </pic:pic>
              </a:graphicData>
            </a:graphic>
          </wp:inline>
        </w:drawing>
      </w:r>
    </w:p>
    <w:p w14:paraId="1B2FF980" w14:textId="77777777" w:rsidR="00CB2148" w:rsidRPr="00985F62" w:rsidRDefault="00CB2148" w:rsidP="00775A4F">
      <w:pPr>
        <w:spacing w:after="0"/>
      </w:pPr>
    </w:p>
    <w:p w14:paraId="1A8373AD" w14:textId="77777777" w:rsidR="00CB2148" w:rsidRDefault="005031F6" w:rsidP="00775A4F">
      <w:pPr>
        <w:spacing w:after="0"/>
      </w:pPr>
      <w:r>
        <w:t>Extra in den Folien ohne Lernziel:</w:t>
      </w:r>
    </w:p>
    <w:p w14:paraId="3FF974F6" w14:textId="77777777" w:rsidR="005031F6" w:rsidRDefault="005031F6" w:rsidP="00775A4F">
      <w:pPr>
        <w:spacing w:after="0"/>
      </w:pPr>
      <w:r>
        <w:t>Nierenhormone:</w:t>
      </w:r>
    </w:p>
    <w:p w14:paraId="6008D549" w14:textId="77777777" w:rsidR="005031F6" w:rsidRPr="00C31B00" w:rsidRDefault="005031F6" w:rsidP="00C31B00">
      <w:pPr>
        <w:pStyle w:val="Listenabsatz"/>
        <w:numPr>
          <w:ilvl w:val="0"/>
          <w:numId w:val="21"/>
        </w:numPr>
        <w:autoSpaceDE w:val="0"/>
        <w:autoSpaceDN w:val="0"/>
        <w:adjustRightInd w:val="0"/>
        <w:spacing w:after="0" w:line="240" w:lineRule="auto"/>
        <w:rPr>
          <w:rFonts w:cs="Arial"/>
        </w:rPr>
      </w:pPr>
      <w:r w:rsidRPr="00C31B00">
        <w:rPr>
          <w:rFonts w:cs="Arial"/>
        </w:rPr>
        <w:t>Calcitriol (PT) 1,25-Dihydroxycholecalciferol – Calciumphosphat</w:t>
      </w:r>
    </w:p>
    <w:p w14:paraId="4DEB3C24" w14:textId="77777777" w:rsidR="005031F6" w:rsidRPr="00C31B00" w:rsidRDefault="005031F6" w:rsidP="00C31B00">
      <w:pPr>
        <w:pStyle w:val="Listenabsatz"/>
        <w:numPr>
          <w:ilvl w:val="0"/>
          <w:numId w:val="21"/>
        </w:numPr>
        <w:autoSpaceDE w:val="0"/>
        <w:autoSpaceDN w:val="0"/>
        <w:adjustRightInd w:val="0"/>
        <w:spacing w:after="0" w:line="240" w:lineRule="auto"/>
        <w:rPr>
          <w:rFonts w:cs="Arial"/>
        </w:rPr>
      </w:pPr>
      <w:r w:rsidRPr="00C31B00">
        <w:rPr>
          <w:rFonts w:cs="Arial"/>
        </w:rPr>
        <w:t>Urodilatin (DT) aus Pro-Atriopeptin - renale Natriumausscheidung</w:t>
      </w:r>
    </w:p>
    <w:p w14:paraId="546F1D20" w14:textId="77777777" w:rsidR="005031F6" w:rsidRPr="00C31B00" w:rsidRDefault="005031F6" w:rsidP="00C31B00">
      <w:pPr>
        <w:pStyle w:val="Listenabsatz"/>
        <w:numPr>
          <w:ilvl w:val="0"/>
          <w:numId w:val="21"/>
        </w:numPr>
        <w:autoSpaceDE w:val="0"/>
        <w:autoSpaceDN w:val="0"/>
        <w:adjustRightInd w:val="0"/>
        <w:spacing w:after="0" w:line="240" w:lineRule="auto"/>
        <w:rPr>
          <w:rFonts w:cs="Arial"/>
        </w:rPr>
      </w:pPr>
      <w:r w:rsidRPr="00C31B00">
        <w:rPr>
          <w:rFonts w:cs="Arial"/>
        </w:rPr>
        <w:t>Bradykinin (DT-CD-Hauptzellen) - renale Natriumausscheidung</w:t>
      </w:r>
    </w:p>
    <w:p w14:paraId="45BD2B9E" w14:textId="77777777" w:rsidR="005031F6" w:rsidRPr="00C31B00" w:rsidRDefault="005031F6" w:rsidP="00C31B00">
      <w:pPr>
        <w:pStyle w:val="Listenabsatz"/>
        <w:numPr>
          <w:ilvl w:val="0"/>
          <w:numId w:val="21"/>
        </w:numPr>
        <w:autoSpaceDE w:val="0"/>
        <w:autoSpaceDN w:val="0"/>
        <w:adjustRightInd w:val="0"/>
        <w:spacing w:after="0" w:line="240" w:lineRule="auto"/>
        <w:rPr>
          <w:rFonts w:cs="Arial"/>
        </w:rPr>
      </w:pPr>
      <w:r w:rsidRPr="00C31B00">
        <w:rPr>
          <w:rFonts w:cs="Arial"/>
        </w:rPr>
        <w:t>PGE2 (CD-Blutgefäße und interstitielle Zellen Nierenmark (vasodilatorisch,</w:t>
      </w:r>
    </w:p>
    <w:p w14:paraId="053F21D2" w14:textId="77777777" w:rsidR="005031F6" w:rsidRPr="00C31B00" w:rsidRDefault="005031F6" w:rsidP="00C31B00">
      <w:pPr>
        <w:pStyle w:val="Listenabsatz"/>
        <w:numPr>
          <w:ilvl w:val="0"/>
          <w:numId w:val="21"/>
        </w:numPr>
        <w:autoSpaceDE w:val="0"/>
        <w:autoSpaceDN w:val="0"/>
        <w:adjustRightInd w:val="0"/>
        <w:spacing w:after="0" w:line="240" w:lineRule="auto"/>
        <w:rPr>
          <w:rFonts w:cs="Arial"/>
        </w:rPr>
      </w:pPr>
      <w:r w:rsidRPr="00C31B00">
        <w:rPr>
          <w:rFonts w:cs="Arial"/>
        </w:rPr>
        <w:t>Reninsekretion, Natriumresorption, Wasserresoerption)</w:t>
      </w:r>
    </w:p>
    <w:p w14:paraId="62012B76" w14:textId="77777777" w:rsidR="005031F6" w:rsidRPr="007204D4" w:rsidRDefault="005031F6" w:rsidP="00C31B00">
      <w:pPr>
        <w:pStyle w:val="Listenabsatz"/>
        <w:numPr>
          <w:ilvl w:val="0"/>
          <w:numId w:val="21"/>
        </w:numPr>
        <w:autoSpaceDE w:val="0"/>
        <w:autoSpaceDN w:val="0"/>
        <w:adjustRightInd w:val="0"/>
        <w:spacing w:after="0" w:line="240" w:lineRule="auto"/>
        <w:rPr>
          <w:rFonts w:cs="Arial"/>
          <w:lang w:val="da-DK"/>
        </w:rPr>
      </w:pPr>
      <w:r w:rsidRPr="007204D4">
        <w:rPr>
          <w:rFonts w:cs="Arial"/>
          <w:lang w:val="da-DK"/>
        </w:rPr>
        <w:t>Renin (MD) AT-II, Aldosteron, Blutdruck</w:t>
      </w:r>
    </w:p>
    <w:p w14:paraId="61ED3438" w14:textId="77777777" w:rsidR="005031F6" w:rsidRPr="00C31B00" w:rsidRDefault="005031F6" w:rsidP="00C31B00">
      <w:pPr>
        <w:pStyle w:val="Listenabsatz"/>
        <w:numPr>
          <w:ilvl w:val="0"/>
          <w:numId w:val="21"/>
        </w:numPr>
        <w:autoSpaceDE w:val="0"/>
        <w:autoSpaceDN w:val="0"/>
        <w:adjustRightInd w:val="0"/>
        <w:spacing w:after="0" w:line="240" w:lineRule="auto"/>
        <w:rPr>
          <w:rFonts w:cs="Arial"/>
        </w:rPr>
      </w:pPr>
      <w:r w:rsidRPr="00C31B00">
        <w:rPr>
          <w:rFonts w:cs="Arial"/>
        </w:rPr>
        <w:t>Erythropoietin (Fibroblasten Nierenrinde) Erythropoiese</w:t>
      </w:r>
    </w:p>
    <w:p w14:paraId="63F926D4" w14:textId="77777777" w:rsidR="005031F6" w:rsidRPr="00C31B00" w:rsidRDefault="005031F6" w:rsidP="00C31B00">
      <w:pPr>
        <w:pStyle w:val="Listenabsatz"/>
        <w:numPr>
          <w:ilvl w:val="0"/>
          <w:numId w:val="21"/>
        </w:numPr>
        <w:autoSpaceDE w:val="0"/>
        <w:autoSpaceDN w:val="0"/>
        <w:adjustRightInd w:val="0"/>
        <w:spacing w:after="0" w:line="240" w:lineRule="auto"/>
        <w:rPr>
          <w:rFonts w:cs="Arial"/>
        </w:rPr>
      </w:pPr>
      <w:r w:rsidRPr="00C31B00">
        <w:rPr>
          <w:rFonts w:cs="Arial"/>
        </w:rPr>
        <w:t>Thrombopoietin Megakaryozyten</w:t>
      </w:r>
    </w:p>
    <w:p w14:paraId="68536EBA" w14:textId="77777777" w:rsidR="005031F6" w:rsidRPr="005031F6" w:rsidRDefault="005031F6" w:rsidP="00C31B00">
      <w:pPr>
        <w:pStyle w:val="Listenabsatz"/>
        <w:numPr>
          <w:ilvl w:val="0"/>
          <w:numId w:val="21"/>
        </w:numPr>
        <w:spacing w:after="0" w:line="240" w:lineRule="auto"/>
      </w:pPr>
      <w:r w:rsidRPr="00C31B00">
        <w:rPr>
          <w:rFonts w:cs="Arial"/>
          <w:lang w:val="en-US"/>
        </w:rPr>
        <w:t>(PT: Proximaler Tubulus, DT: Distaler Tubulus, MD: Macula densa, CD: Sammelrohr)</w:t>
      </w:r>
    </w:p>
    <w:p w14:paraId="63CBBBFF" w14:textId="77777777" w:rsidR="00CB2148" w:rsidRPr="008223AC" w:rsidRDefault="00CB2148" w:rsidP="00775A4F">
      <w:pPr>
        <w:spacing w:after="0"/>
      </w:pPr>
      <w:r w:rsidRPr="008223AC">
        <w:rPr>
          <w:noProof/>
          <w:lang w:val="en-US"/>
        </w:rPr>
        <w:drawing>
          <wp:inline distT="0" distB="0" distL="0" distR="0">
            <wp:extent cx="4163006" cy="3086531"/>
            <wp:effectExtent l="0" t="0" r="9525" b="0"/>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380C158.tmp"/>
                    <pic:cNvPicPr/>
                  </pic:nvPicPr>
                  <pic:blipFill>
                    <a:blip r:embed="rId107">
                      <a:extLst>
                        <a:ext uri="{28A0092B-C50C-407E-A947-70E740481C1C}">
                          <a14:useLocalDpi xmlns:a14="http://schemas.microsoft.com/office/drawing/2010/main" val="0"/>
                        </a:ext>
                      </a:extLst>
                    </a:blip>
                    <a:stretch>
                      <a:fillRect/>
                    </a:stretch>
                  </pic:blipFill>
                  <pic:spPr>
                    <a:xfrm>
                      <a:off x="0" y="0"/>
                      <a:ext cx="4163006" cy="3086531"/>
                    </a:xfrm>
                    <a:prstGeom prst="rect">
                      <a:avLst/>
                    </a:prstGeom>
                  </pic:spPr>
                </pic:pic>
              </a:graphicData>
            </a:graphic>
          </wp:inline>
        </w:drawing>
      </w:r>
    </w:p>
    <w:p w14:paraId="19F80B18" w14:textId="77777777" w:rsidR="00CB2148" w:rsidRPr="008223AC" w:rsidRDefault="00CB2148" w:rsidP="00775A4F">
      <w:pPr>
        <w:spacing w:after="0"/>
      </w:pPr>
    </w:p>
    <w:sectPr w:rsidR="00CB2148" w:rsidRPr="008223AC">
      <w:headerReference w:type="default" r:id="rId10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34BD06" w14:textId="77777777" w:rsidR="005043C6" w:rsidRDefault="005043C6" w:rsidP="00D73DCE">
      <w:pPr>
        <w:spacing w:after="0" w:line="240" w:lineRule="auto"/>
      </w:pPr>
      <w:r>
        <w:separator/>
      </w:r>
    </w:p>
  </w:endnote>
  <w:endnote w:type="continuationSeparator" w:id="0">
    <w:p w14:paraId="244440B6" w14:textId="77777777" w:rsidR="005043C6" w:rsidRDefault="005043C6" w:rsidP="00D73D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C52611" w14:textId="77777777" w:rsidR="005043C6" w:rsidRDefault="005043C6" w:rsidP="00D73DCE">
      <w:pPr>
        <w:spacing w:after="0" w:line="240" w:lineRule="auto"/>
      </w:pPr>
      <w:r>
        <w:separator/>
      </w:r>
    </w:p>
  </w:footnote>
  <w:footnote w:type="continuationSeparator" w:id="0">
    <w:p w14:paraId="4C523E81" w14:textId="77777777" w:rsidR="005043C6" w:rsidRDefault="005043C6" w:rsidP="00D73D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F45DF3" w14:textId="77777777" w:rsidR="00D73DCE" w:rsidRDefault="00D73DCE">
    <w:pPr>
      <w:pStyle w:val="Kopfzeile"/>
    </w:pPr>
    <w:r>
      <w:t>BIO 3</w:t>
    </w:r>
    <w:r>
      <w:tab/>
      <w:t>Physiologie</w:t>
    </w:r>
    <w:r>
      <w:tab/>
    </w:r>
    <w:r w:rsidR="00775A4F">
      <w:t>Niere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777FF"/>
    <w:multiLevelType w:val="hybridMultilevel"/>
    <w:tmpl w:val="A744866C"/>
    <w:lvl w:ilvl="0" w:tplc="10C603B4">
      <w:numFmt w:val="bullet"/>
      <w:lvlText w:val="•"/>
      <w:lvlJc w:val="left"/>
      <w:pPr>
        <w:ind w:left="1776" w:hanging="360"/>
      </w:pPr>
      <w:rPr>
        <w:rFonts w:ascii="Calibri" w:eastAsiaTheme="minorHAnsi" w:hAnsi="Calibri" w:cs="Aria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 w15:restartNumberingAfterBreak="0">
    <w:nsid w:val="0BC5260C"/>
    <w:multiLevelType w:val="hybridMultilevel"/>
    <w:tmpl w:val="931C2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A05453"/>
    <w:multiLevelType w:val="multilevel"/>
    <w:tmpl w:val="779652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5A6268"/>
    <w:multiLevelType w:val="hybridMultilevel"/>
    <w:tmpl w:val="FF40E3D0"/>
    <w:lvl w:ilvl="0" w:tplc="10C603B4">
      <w:numFmt w:val="bullet"/>
      <w:lvlText w:val="•"/>
      <w:lvlJc w:val="left"/>
      <w:pPr>
        <w:ind w:left="1065" w:hanging="360"/>
      </w:pPr>
      <w:rPr>
        <w:rFonts w:ascii="Calibri" w:eastAsiaTheme="minorHAnsi"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FA4421"/>
    <w:multiLevelType w:val="hybridMultilevel"/>
    <w:tmpl w:val="EF4A7068"/>
    <w:lvl w:ilvl="0" w:tplc="F468FA36">
      <w:start w:val="2"/>
      <w:numFmt w:val="bullet"/>
      <w:lvlText w:val="-"/>
      <w:lvlJc w:val="left"/>
      <w:pPr>
        <w:ind w:left="1065"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091DA8"/>
    <w:multiLevelType w:val="multilevel"/>
    <w:tmpl w:val="F724B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B91805"/>
    <w:multiLevelType w:val="hybridMultilevel"/>
    <w:tmpl w:val="63E48750"/>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7" w15:restartNumberingAfterBreak="0">
    <w:nsid w:val="1BD85C54"/>
    <w:multiLevelType w:val="hybridMultilevel"/>
    <w:tmpl w:val="862E3464"/>
    <w:lvl w:ilvl="0" w:tplc="F468FA36">
      <w:start w:val="2"/>
      <w:numFmt w:val="bullet"/>
      <w:lvlText w:val="-"/>
      <w:lvlJc w:val="left"/>
      <w:pPr>
        <w:ind w:left="1065"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401B52"/>
    <w:multiLevelType w:val="hybridMultilevel"/>
    <w:tmpl w:val="B0D219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4312BE3"/>
    <w:multiLevelType w:val="hybridMultilevel"/>
    <w:tmpl w:val="B22CD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4368B8"/>
    <w:multiLevelType w:val="hybridMultilevel"/>
    <w:tmpl w:val="402078B6"/>
    <w:lvl w:ilvl="0" w:tplc="F468FA36">
      <w:start w:val="2"/>
      <w:numFmt w:val="bullet"/>
      <w:lvlText w:val="-"/>
      <w:lvlJc w:val="left"/>
      <w:pPr>
        <w:ind w:left="1770" w:hanging="360"/>
      </w:pPr>
      <w:rPr>
        <w:rFonts w:ascii="Calibri" w:eastAsiaTheme="minorHAnsi" w:hAnsi="Calibri" w:cstheme="minorBidi" w:hint="default"/>
      </w:rPr>
    </w:lvl>
    <w:lvl w:ilvl="1" w:tplc="04090003" w:tentative="1">
      <w:start w:val="1"/>
      <w:numFmt w:val="bullet"/>
      <w:lvlText w:val="o"/>
      <w:lvlJc w:val="left"/>
      <w:pPr>
        <w:ind w:left="2145" w:hanging="360"/>
      </w:pPr>
      <w:rPr>
        <w:rFonts w:ascii="Courier New" w:hAnsi="Courier New" w:cs="Courier New" w:hint="default"/>
      </w:rPr>
    </w:lvl>
    <w:lvl w:ilvl="2" w:tplc="04090005" w:tentative="1">
      <w:start w:val="1"/>
      <w:numFmt w:val="bullet"/>
      <w:lvlText w:val=""/>
      <w:lvlJc w:val="left"/>
      <w:pPr>
        <w:ind w:left="2865" w:hanging="360"/>
      </w:pPr>
      <w:rPr>
        <w:rFonts w:ascii="Wingdings" w:hAnsi="Wingdings" w:hint="default"/>
      </w:rPr>
    </w:lvl>
    <w:lvl w:ilvl="3" w:tplc="04090001" w:tentative="1">
      <w:start w:val="1"/>
      <w:numFmt w:val="bullet"/>
      <w:lvlText w:val=""/>
      <w:lvlJc w:val="left"/>
      <w:pPr>
        <w:ind w:left="3585" w:hanging="360"/>
      </w:pPr>
      <w:rPr>
        <w:rFonts w:ascii="Symbol" w:hAnsi="Symbol" w:hint="default"/>
      </w:rPr>
    </w:lvl>
    <w:lvl w:ilvl="4" w:tplc="04090003" w:tentative="1">
      <w:start w:val="1"/>
      <w:numFmt w:val="bullet"/>
      <w:lvlText w:val="o"/>
      <w:lvlJc w:val="left"/>
      <w:pPr>
        <w:ind w:left="4305" w:hanging="360"/>
      </w:pPr>
      <w:rPr>
        <w:rFonts w:ascii="Courier New" w:hAnsi="Courier New" w:cs="Courier New" w:hint="default"/>
      </w:rPr>
    </w:lvl>
    <w:lvl w:ilvl="5" w:tplc="04090005" w:tentative="1">
      <w:start w:val="1"/>
      <w:numFmt w:val="bullet"/>
      <w:lvlText w:val=""/>
      <w:lvlJc w:val="left"/>
      <w:pPr>
        <w:ind w:left="5025" w:hanging="360"/>
      </w:pPr>
      <w:rPr>
        <w:rFonts w:ascii="Wingdings" w:hAnsi="Wingdings" w:hint="default"/>
      </w:rPr>
    </w:lvl>
    <w:lvl w:ilvl="6" w:tplc="04090001" w:tentative="1">
      <w:start w:val="1"/>
      <w:numFmt w:val="bullet"/>
      <w:lvlText w:val=""/>
      <w:lvlJc w:val="left"/>
      <w:pPr>
        <w:ind w:left="5745" w:hanging="360"/>
      </w:pPr>
      <w:rPr>
        <w:rFonts w:ascii="Symbol" w:hAnsi="Symbol" w:hint="default"/>
      </w:rPr>
    </w:lvl>
    <w:lvl w:ilvl="7" w:tplc="04090003" w:tentative="1">
      <w:start w:val="1"/>
      <w:numFmt w:val="bullet"/>
      <w:lvlText w:val="o"/>
      <w:lvlJc w:val="left"/>
      <w:pPr>
        <w:ind w:left="6465" w:hanging="360"/>
      </w:pPr>
      <w:rPr>
        <w:rFonts w:ascii="Courier New" w:hAnsi="Courier New" w:cs="Courier New" w:hint="default"/>
      </w:rPr>
    </w:lvl>
    <w:lvl w:ilvl="8" w:tplc="04090005" w:tentative="1">
      <w:start w:val="1"/>
      <w:numFmt w:val="bullet"/>
      <w:lvlText w:val=""/>
      <w:lvlJc w:val="left"/>
      <w:pPr>
        <w:ind w:left="7185" w:hanging="360"/>
      </w:pPr>
      <w:rPr>
        <w:rFonts w:ascii="Wingdings" w:hAnsi="Wingdings" w:hint="default"/>
      </w:rPr>
    </w:lvl>
  </w:abstractNum>
  <w:abstractNum w:abstractNumId="11" w15:restartNumberingAfterBreak="0">
    <w:nsid w:val="288C2C59"/>
    <w:multiLevelType w:val="hybridMultilevel"/>
    <w:tmpl w:val="F8BAB69C"/>
    <w:lvl w:ilvl="0" w:tplc="10C603B4">
      <w:numFmt w:val="bullet"/>
      <w:lvlText w:val="•"/>
      <w:lvlJc w:val="left"/>
      <w:pPr>
        <w:ind w:left="1776" w:hanging="360"/>
      </w:pPr>
      <w:rPr>
        <w:rFonts w:ascii="Calibri" w:eastAsiaTheme="minorHAnsi" w:hAnsi="Calibri" w:cs="Aria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2" w15:restartNumberingAfterBreak="0">
    <w:nsid w:val="29D16F32"/>
    <w:multiLevelType w:val="hybridMultilevel"/>
    <w:tmpl w:val="AF5A8F76"/>
    <w:lvl w:ilvl="0" w:tplc="E528D2E8">
      <w:numFmt w:val="bullet"/>
      <w:lvlText w:val=""/>
      <w:lvlJc w:val="left"/>
      <w:pPr>
        <w:ind w:left="1080" w:hanging="360"/>
      </w:pPr>
      <w:rPr>
        <w:rFonts w:ascii="Wingdings" w:eastAsiaTheme="minorHAnsi" w:hAnsi="Wingdings" w:cstheme="minorBidi"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3" w15:restartNumberingAfterBreak="0">
    <w:nsid w:val="2CA8668C"/>
    <w:multiLevelType w:val="multilevel"/>
    <w:tmpl w:val="B246C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7A313A"/>
    <w:multiLevelType w:val="hybridMultilevel"/>
    <w:tmpl w:val="8992331A"/>
    <w:lvl w:ilvl="0" w:tplc="F468FA36">
      <w:start w:val="2"/>
      <w:numFmt w:val="bullet"/>
      <w:lvlText w:val="-"/>
      <w:lvlJc w:val="left"/>
      <w:pPr>
        <w:ind w:left="1065" w:hanging="360"/>
      </w:pPr>
      <w:rPr>
        <w:rFonts w:ascii="Calibri" w:eastAsiaTheme="minorHAnsi" w:hAnsi="Calibri" w:cstheme="minorBidi"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5" w15:restartNumberingAfterBreak="0">
    <w:nsid w:val="3F1547AA"/>
    <w:multiLevelType w:val="multilevel"/>
    <w:tmpl w:val="23643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A97ED1"/>
    <w:multiLevelType w:val="hybridMultilevel"/>
    <w:tmpl w:val="B2447742"/>
    <w:lvl w:ilvl="0" w:tplc="10C603B4">
      <w:numFmt w:val="bullet"/>
      <w:lvlText w:val="•"/>
      <w:lvlJc w:val="left"/>
      <w:pPr>
        <w:ind w:left="1068" w:hanging="360"/>
      </w:pPr>
      <w:rPr>
        <w:rFonts w:ascii="Calibri" w:eastAsiaTheme="minorHAnsi"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851620"/>
    <w:multiLevelType w:val="hybridMultilevel"/>
    <w:tmpl w:val="694AC4D4"/>
    <w:lvl w:ilvl="0" w:tplc="10C603B4">
      <w:numFmt w:val="bullet"/>
      <w:lvlText w:val="•"/>
      <w:lvlJc w:val="left"/>
      <w:pPr>
        <w:ind w:left="1068" w:hanging="360"/>
      </w:pPr>
      <w:rPr>
        <w:rFonts w:ascii="Calibri" w:eastAsiaTheme="minorHAnsi" w:hAnsi="Calibri" w:cs="Arial" w:hint="default"/>
      </w:rPr>
    </w:lvl>
    <w:lvl w:ilvl="1" w:tplc="B53676CE">
      <w:numFmt w:val="bullet"/>
      <w:lvlText w:val="–"/>
      <w:lvlJc w:val="left"/>
      <w:pPr>
        <w:ind w:left="1788" w:hanging="360"/>
      </w:pPr>
      <w:rPr>
        <w:rFonts w:ascii="Calibri" w:eastAsiaTheme="minorHAnsi" w:hAnsi="Calibri" w:cs="Arial"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8" w15:restartNumberingAfterBreak="0">
    <w:nsid w:val="58AB66A3"/>
    <w:multiLevelType w:val="hybridMultilevel"/>
    <w:tmpl w:val="70B43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AF0394B"/>
    <w:multiLevelType w:val="hybridMultilevel"/>
    <w:tmpl w:val="1C2ACE6A"/>
    <w:lvl w:ilvl="0" w:tplc="25022976">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6F265839"/>
    <w:multiLevelType w:val="hybridMultilevel"/>
    <w:tmpl w:val="4D70145A"/>
    <w:lvl w:ilvl="0" w:tplc="7EBA1022">
      <w:numFmt w:val="bullet"/>
      <w:lvlText w:val=""/>
      <w:lvlJc w:val="left"/>
      <w:pPr>
        <w:ind w:left="1080" w:hanging="360"/>
      </w:pPr>
      <w:rPr>
        <w:rFonts w:ascii="Wingdings" w:eastAsiaTheme="minorHAnsi" w:hAnsi="Wingdings" w:cstheme="minorBidi"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1" w15:restartNumberingAfterBreak="0">
    <w:nsid w:val="7347297F"/>
    <w:multiLevelType w:val="hybridMultilevel"/>
    <w:tmpl w:val="37D8B34C"/>
    <w:lvl w:ilvl="0" w:tplc="754C68F6">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7BDF6E90"/>
    <w:multiLevelType w:val="hybridMultilevel"/>
    <w:tmpl w:val="452CFF3C"/>
    <w:lvl w:ilvl="0" w:tplc="811C96A8">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7F1D4795"/>
    <w:multiLevelType w:val="multilevel"/>
    <w:tmpl w:val="CBD43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19"/>
  </w:num>
  <w:num w:numId="3">
    <w:abstractNumId w:val="12"/>
  </w:num>
  <w:num w:numId="4">
    <w:abstractNumId w:val="21"/>
  </w:num>
  <w:num w:numId="5">
    <w:abstractNumId w:val="20"/>
  </w:num>
  <w:num w:numId="6">
    <w:abstractNumId w:val="5"/>
  </w:num>
  <w:num w:numId="7">
    <w:abstractNumId w:val="13"/>
  </w:num>
  <w:num w:numId="8">
    <w:abstractNumId w:val="1"/>
  </w:num>
  <w:num w:numId="9">
    <w:abstractNumId w:val="8"/>
  </w:num>
  <w:num w:numId="10">
    <w:abstractNumId w:val="18"/>
  </w:num>
  <w:num w:numId="11">
    <w:abstractNumId w:val="9"/>
  </w:num>
  <w:num w:numId="12">
    <w:abstractNumId w:val="6"/>
  </w:num>
  <w:num w:numId="13">
    <w:abstractNumId w:val="17"/>
  </w:num>
  <w:num w:numId="14">
    <w:abstractNumId w:val="16"/>
  </w:num>
  <w:num w:numId="15">
    <w:abstractNumId w:val="0"/>
  </w:num>
  <w:num w:numId="16">
    <w:abstractNumId w:val="11"/>
  </w:num>
  <w:num w:numId="17">
    <w:abstractNumId w:val="15"/>
  </w:num>
  <w:num w:numId="18">
    <w:abstractNumId w:val="23"/>
  </w:num>
  <w:num w:numId="19">
    <w:abstractNumId w:val="2"/>
  </w:num>
  <w:num w:numId="20">
    <w:abstractNumId w:val="14"/>
  </w:num>
  <w:num w:numId="21">
    <w:abstractNumId w:val="4"/>
  </w:num>
  <w:num w:numId="22">
    <w:abstractNumId w:val="10"/>
  </w:num>
  <w:num w:numId="23">
    <w:abstractNumId w:val="7"/>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DCE"/>
    <w:rsid w:val="00054FA4"/>
    <w:rsid w:val="000A684A"/>
    <w:rsid w:val="00153AA2"/>
    <w:rsid w:val="001675C0"/>
    <w:rsid w:val="00241C8C"/>
    <w:rsid w:val="00257324"/>
    <w:rsid w:val="0027262D"/>
    <w:rsid w:val="00296872"/>
    <w:rsid w:val="002A41CB"/>
    <w:rsid w:val="002A7690"/>
    <w:rsid w:val="002E4AE1"/>
    <w:rsid w:val="002F1629"/>
    <w:rsid w:val="00327F54"/>
    <w:rsid w:val="004133B6"/>
    <w:rsid w:val="0042626F"/>
    <w:rsid w:val="004328F7"/>
    <w:rsid w:val="005031F6"/>
    <w:rsid w:val="005043C6"/>
    <w:rsid w:val="005479EC"/>
    <w:rsid w:val="00576DE3"/>
    <w:rsid w:val="00592FF6"/>
    <w:rsid w:val="0064565F"/>
    <w:rsid w:val="00655A46"/>
    <w:rsid w:val="006877D4"/>
    <w:rsid w:val="006B4E6C"/>
    <w:rsid w:val="007204D4"/>
    <w:rsid w:val="00775A4F"/>
    <w:rsid w:val="00784121"/>
    <w:rsid w:val="007C3FA0"/>
    <w:rsid w:val="008223AC"/>
    <w:rsid w:val="00834A10"/>
    <w:rsid w:val="00852606"/>
    <w:rsid w:val="0085676A"/>
    <w:rsid w:val="00961826"/>
    <w:rsid w:val="00985F62"/>
    <w:rsid w:val="00A9206C"/>
    <w:rsid w:val="00A96917"/>
    <w:rsid w:val="00AA6EE1"/>
    <w:rsid w:val="00AE0D9E"/>
    <w:rsid w:val="00AE0E86"/>
    <w:rsid w:val="00AE17B9"/>
    <w:rsid w:val="00B05EA1"/>
    <w:rsid w:val="00B121A2"/>
    <w:rsid w:val="00B128ED"/>
    <w:rsid w:val="00BA01EB"/>
    <w:rsid w:val="00BB3BB4"/>
    <w:rsid w:val="00C31B00"/>
    <w:rsid w:val="00C82ED7"/>
    <w:rsid w:val="00C9226F"/>
    <w:rsid w:val="00CB2148"/>
    <w:rsid w:val="00D41B7C"/>
    <w:rsid w:val="00D73DCE"/>
    <w:rsid w:val="00D910B3"/>
    <w:rsid w:val="00DD60D2"/>
    <w:rsid w:val="00E24742"/>
    <w:rsid w:val="00E40656"/>
    <w:rsid w:val="00E846B2"/>
    <w:rsid w:val="00E93FF8"/>
    <w:rsid w:val="00F023A6"/>
    <w:rsid w:val="00F332DE"/>
    <w:rsid w:val="00F43B4C"/>
    <w:rsid w:val="00F74C8D"/>
    <w:rsid w:val="00FD505A"/>
    <w:rsid w:val="00FF42B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D9858"/>
  <w15:chartTrackingRefBased/>
  <w15:docId w15:val="{665BD475-898F-4399-BC34-1C8E91756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3">
    <w:name w:val="heading 3"/>
    <w:basedOn w:val="Standard"/>
    <w:link w:val="berschrift3Zchn"/>
    <w:uiPriority w:val="9"/>
    <w:qFormat/>
    <w:rsid w:val="001675C0"/>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D73DCE"/>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D73DCE"/>
  </w:style>
  <w:style w:type="paragraph" w:styleId="Fuzeile">
    <w:name w:val="footer"/>
    <w:basedOn w:val="Standard"/>
    <w:link w:val="FuzeileZchn"/>
    <w:uiPriority w:val="99"/>
    <w:unhideWhenUsed/>
    <w:rsid w:val="00D73DCE"/>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D73DCE"/>
  </w:style>
  <w:style w:type="paragraph" w:styleId="Listenabsatz">
    <w:name w:val="List Paragraph"/>
    <w:basedOn w:val="Standard"/>
    <w:uiPriority w:val="34"/>
    <w:qFormat/>
    <w:rsid w:val="006B4E6C"/>
    <w:pPr>
      <w:ind w:left="720"/>
      <w:contextualSpacing/>
    </w:pPr>
  </w:style>
  <w:style w:type="character" w:styleId="Hyperlink">
    <w:name w:val="Hyperlink"/>
    <w:basedOn w:val="Absatz-Standardschriftart"/>
    <w:uiPriority w:val="99"/>
    <w:semiHidden/>
    <w:unhideWhenUsed/>
    <w:rsid w:val="00E846B2"/>
    <w:rPr>
      <w:color w:val="0000FF"/>
      <w:u w:val="single"/>
    </w:rPr>
  </w:style>
  <w:style w:type="character" w:styleId="Kommentarzeichen">
    <w:name w:val="annotation reference"/>
    <w:basedOn w:val="Absatz-Standardschriftart"/>
    <w:uiPriority w:val="99"/>
    <w:semiHidden/>
    <w:unhideWhenUsed/>
    <w:rsid w:val="00241C8C"/>
    <w:rPr>
      <w:sz w:val="16"/>
      <w:szCs w:val="16"/>
    </w:rPr>
  </w:style>
  <w:style w:type="paragraph" w:styleId="Kommentartext">
    <w:name w:val="annotation text"/>
    <w:basedOn w:val="Standard"/>
    <w:link w:val="KommentartextZchn"/>
    <w:uiPriority w:val="99"/>
    <w:semiHidden/>
    <w:unhideWhenUsed/>
    <w:rsid w:val="00241C8C"/>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241C8C"/>
    <w:rPr>
      <w:sz w:val="20"/>
      <w:szCs w:val="20"/>
    </w:rPr>
  </w:style>
  <w:style w:type="paragraph" w:styleId="Kommentarthema">
    <w:name w:val="annotation subject"/>
    <w:basedOn w:val="Kommentartext"/>
    <w:next w:val="Kommentartext"/>
    <w:link w:val="KommentarthemaZchn"/>
    <w:uiPriority w:val="99"/>
    <w:semiHidden/>
    <w:unhideWhenUsed/>
    <w:rsid w:val="00241C8C"/>
    <w:rPr>
      <w:b/>
      <w:bCs/>
    </w:rPr>
  </w:style>
  <w:style w:type="character" w:customStyle="1" w:styleId="KommentarthemaZchn">
    <w:name w:val="Kommentarthema Zchn"/>
    <w:basedOn w:val="KommentartextZchn"/>
    <w:link w:val="Kommentarthema"/>
    <w:uiPriority w:val="99"/>
    <w:semiHidden/>
    <w:rsid w:val="00241C8C"/>
    <w:rPr>
      <w:b/>
      <w:bCs/>
      <w:sz w:val="20"/>
      <w:szCs w:val="20"/>
    </w:rPr>
  </w:style>
  <w:style w:type="paragraph" w:styleId="Sprechblasentext">
    <w:name w:val="Balloon Text"/>
    <w:basedOn w:val="Standard"/>
    <w:link w:val="SprechblasentextZchn"/>
    <w:uiPriority w:val="99"/>
    <w:semiHidden/>
    <w:unhideWhenUsed/>
    <w:rsid w:val="00241C8C"/>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241C8C"/>
    <w:rPr>
      <w:rFonts w:ascii="Segoe UI" w:hAnsi="Segoe UI" w:cs="Segoe UI"/>
      <w:sz w:val="18"/>
      <w:szCs w:val="18"/>
    </w:rPr>
  </w:style>
  <w:style w:type="paragraph" w:styleId="StandardWeb">
    <w:name w:val="Normal (Web)"/>
    <w:basedOn w:val="Standard"/>
    <w:uiPriority w:val="99"/>
    <w:semiHidden/>
    <w:unhideWhenUsed/>
    <w:rsid w:val="00327F54"/>
    <w:pPr>
      <w:spacing w:after="150" w:line="270" w:lineRule="atLeast"/>
    </w:pPr>
    <w:rPr>
      <w:rFonts w:ascii="Times New Roman" w:eastAsia="Times New Roman" w:hAnsi="Times New Roman" w:cs="Times New Roman"/>
      <w:sz w:val="24"/>
      <w:szCs w:val="24"/>
      <w:lang w:val="en-US"/>
    </w:rPr>
  </w:style>
  <w:style w:type="character" w:customStyle="1" w:styleId="berschrift3Zchn">
    <w:name w:val="Überschrift 3 Zchn"/>
    <w:basedOn w:val="Absatz-Standardschriftart"/>
    <w:link w:val="berschrift3"/>
    <w:uiPriority w:val="9"/>
    <w:rsid w:val="001675C0"/>
    <w:rPr>
      <w:rFonts w:ascii="Times New Roman" w:eastAsia="Times New Roman" w:hAnsi="Times New Roman" w:cs="Times New Roman"/>
      <w:b/>
      <w:bCs/>
      <w:sz w:val="27"/>
      <w:szCs w:val="27"/>
      <w:lang w:val="en-US"/>
    </w:rPr>
  </w:style>
  <w:style w:type="character" w:customStyle="1" w:styleId="mw-headline">
    <w:name w:val="mw-headline"/>
    <w:basedOn w:val="Absatz-Standardschriftart"/>
    <w:rsid w:val="001675C0"/>
  </w:style>
  <w:style w:type="character" w:customStyle="1" w:styleId="mw-editsection1">
    <w:name w:val="mw-editsection1"/>
    <w:basedOn w:val="Absatz-Standardschriftart"/>
    <w:rsid w:val="001675C0"/>
  </w:style>
  <w:style w:type="character" w:customStyle="1" w:styleId="mw-editsection-bracket">
    <w:name w:val="mw-editsection-bracket"/>
    <w:basedOn w:val="Absatz-Standardschriftart"/>
    <w:rsid w:val="001675C0"/>
  </w:style>
  <w:style w:type="character" w:customStyle="1" w:styleId="mw-headline-number">
    <w:name w:val="mw-headline-number"/>
    <w:basedOn w:val="Absatz-Standardschriftart"/>
    <w:rsid w:val="005479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5839530">
      <w:bodyDiv w:val="1"/>
      <w:marLeft w:val="0"/>
      <w:marRight w:val="0"/>
      <w:marTop w:val="0"/>
      <w:marBottom w:val="0"/>
      <w:divBdr>
        <w:top w:val="none" w:sz="0" w:space="0" w:color="auto"/>
        <w:left w:val="none" w:sz="0" w:space="0" w:color="auto"/>
        <w:bottom w:val="none" w:sz="0" w:space="0" w:color="auto"/>
        <w:right w:val="none" w:sz="0" w:space="0" w:color="auto"/>
      </w:divBdr>
      <w:divsChild>
        <w:div w:id="901452586">
          <w:marLeft w:val="0"/>
          <w:marRight w:val="0"/>
          <w:marTop w:val="0"/>
          <w:marBottom w:val="0"/>
          <w:divBdr>
            <w:top w:val="none" w:sz="0" w:space="0" w:color="auto"/>
            <w:left w:val="none" w:sz="0" w:space="0" w:color="auto"/>
            <w:bottom w:val="none" w:sz="0" w:space="0" w:color="auto"/>
            <w:right w:val="none" w:sz="0" w:space="0" w:color="auto"/>
          </w:divBdr>
          <w:divsChild>
            <w:div w:id="874344804">
              <w:marLeft w:val="0"/>
              <w:marRight w:val="0"/>
              <w:marTop w:val="0"/>
              <w:marBottom w:val="0"/>
              <w:divBdr>
                <w:top w:val="none" w:sz="0" w:space="0" w:color="auto"/>
                <w:left w:val="none" w:sz="0" w:space="0" w:color="auto"/>
                <w:bottom w:val="none" w:sz="0" w:space="0" w:color="auto"/>
                <w:right w:val="none" w:sz="0" w:space="0" w:color="auto"/>
              </w:divBdr>
              <w:divsChild>
                <w:div w:id="87604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284698">
      <w:bodyDiv w:val="1"/>
      <w:marLeft w:val="0"/>
      <w:marRight w:val="0"/>
      <w:marTop w:val="0"/>
      <w:marBottom w:val="0"/>
      <w:divBdr>
        <w:top w:val="none" w:sz="0" w:space="0" w:color="auto"/>
        <w:left w:val="none" w:sz="0" w:space="0" w:color="auto"/>
        <w:bottom w:val="none" w:sz="0" w:space="0" w:color="auto"/>
        <w:right w:val="none" w:sz="0" w:space="0" w:color="auto"/>
      </w:divBdr>
      <w:divsChild>
        <w:div w:id="2124958320">
          <w:marLeft w:val="420"/>
          <w:marRight w:val="0"/>
          <w:marTop w:val="0"/>
          <w:marBottom w:val="0"/>
          <w:divBdr>
            <w:top w:val="none" w:sz="0" w:space="0" w:color="auto"/>
            <w:left w:val="none" w:sz="0" w:space="0" w:color="auto"/>
            <w:bottom w:val="none" w:sz="0" w:space="0" w:color="auto"/>
            <w:right w:val="none" w:sz="0" w:space="0" w:color="auto"/>
          </w:divBdr>
          <w:divsChild>
            <w:div w:id="901139745">
              <w:marLeft w:val="0"/>
              <w:marRight w:val="0"/>
              <w:marTop w:val="0"/>
              <w:marBottom w:val="0"/>
              <w:divBdr>
                <w:top w:val="none" w:sz="0" w:space="0" w:color="auto"/>
                <w:left w:val="none" w:sz="0" w:space="0" w:color="auto"/>
                <w:bottom w:val="none" w:sz="0" w:space="0" w:color="auto"/>
                <w:right w:val="none" w:sz="0" w:space="0" w:color="auto"/>
              </w:divBdr>
              <w:divsChild>
                <w:div w:id="2005425373">
                  <w:marLeft w:val="0"/>
                  <w:marRight w:val="0"/>
                  <w:marTop w:val="0"/>
                  <w:marBottom w:val="225"/>
                  <w:divBdr>
                    <w:top w:val="none" w:sz="0" w:space="0" w:color="auto"/>
                    <w:left w:val="none" w:sz="0" w:space="0" w:color="auto"/>
                    <w:bottom w:val="none" w:sz="0" w:space="0" w:color="auto"/>
                    <w:right w:val="none" w:sz="0" w:space="0" w:color="auto"/>
                  </w:divBdr>
                  <w:divsChild>
                    <w:div w:id="11602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353495">
      <w:bodyDiv w:val="1"/>
      <w:marLeft w:val="0"/>
      <w:marRight w:val="0"/>
      <w:marTop w:val="0"/>
      <w:marBottom w:val="0"/>
      <w:divBdr>
        <w:top w:val="none" w:sz="0" w:space="0" w:color="auto"/>
        <w:left w:val="none" w:sz="0" w:space="0" w:color="auto"/>
        <w:bottom w:val="none" w:sz="0" w:space="0" w:color="auto"/>
        <w:right w:val="none" w:sz="0" w:space="0" w:color="auto"/>
      </w:divBdr>
      <w:divsChild>
        <w:div w:id="1403214383">
          <w:marLeft w:val="420"/>
          <w:marRight w:val="0"/>
          <w:marTop w:val="0"/>
          <w:marBottom w:val="0"/>
          <w:divBdr>
            <w:top w:val="none" w:sz="0" w:space="0" w:color="auto"/>
            <w:left w:val="none" w:sz="0" w:space="0" w:color="auto"/>
            <w:bottom w:val="none" w:sz="0" w:space="0" w:color="auto"/>
            <w:right w:val="none" w:sz="0" w:space="0" w:color="auto"/>
          </w:divBdr>
          <w:divsChild>
            <w:div w:id="83646149">
              <w:marLeft w:val="0"/>
              <w:marRight w:val="0"/>
              <w:marTop w:val="0"/>
              <w:marBottom w:val="0"/>
              <w:divBdr>
                <w:top w:val="none" w:sz="0" w:space="0" w:color="auto"/>
                <w:left w:val="none" w:sz="0" w:space="0" w:color="auto"/>
                <w:bottom w:val="none" w:sz="0" w:space="0" w:color="auto"/>
                <w:right w:val="none" w:sz="0" w:space="0" w:color="auto"/>
              </w:divBdr>
              <w:divsChild>
                <w:div w:id="1760170899">
                  <w:marLeft w:val="0"/>
                  <w:marRight w:val="0"/>
                  <w:marTop w:val="0"/>
                  <w:marBottom w:val="225"/>
                  <w:divBdr>
                    <w:top w:val="none" w:sz="0" w:space="0" w:color="auto"/>
                    <w:left w:val="none" w:sz="0" w:space="0" w:color="auto"/>
                    <w:bottom w:val="none" w:sz="0" w:space="0" w:color="auto"/>
                    <w:right w:val="none" w:sz="0" w:space="0" w:color="auto"/>
                  </w:divBdr>
                  <w:divsChild>
                    <w:div w:id="180133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5582024">
      <w:bodyDiv w:val="1"/>
      <w:marLeft w:val="0"/>
      <w:marRight w:val="0"/>
      <w:marTop w:val="0"/>
      <w:marBottom w:val="0"/>
      <w:divBdr>
        <w:top w:val="none" w:sz="0" w:space="0" w:color="auto"/>
        <w:left w:val="none" w:sz="0" w:space="0" w:color="auto"/>
        <w:bottom w:val="none" w:sz="0" w:space="0" w:color="auto"/>
        <w:right w:val="none" w:sz="0" w:space="0" w:color="auto"/>
      </w:divBdr>
      <w:divsChild>
        <w:div w:id="198204131">
          <w:marLeft w:val="420"/>
          <w:marRight w:val="0"/>
          <w:marTop w:val="0"/>
          <w:marBottom w:val="0"/>
          <w:divBdr>
            <w:top w:val="none" w:sz="0" w:space="0" w:color="auto"/>
            <w:left w:val="none" w:sz="0" w:space="0" w:color="auto"/>
            <w:bottom w:val="none" w:sz="0" w:space="0" w:color="auto"/>
            <w:right w:val="none" w:sz="0" w:space="0" w:color="auto"/>
          </w:divBdr>
          <w:divsChild>
            <w:div w:id="1686975642">
              <w:marLeft w:val="0"/>
              <w:marRight w:val="0"/>
              <w:marTop w:val="0"/>
              <w:marBottom w:val="0"/>
              <w:divBdr>
                <w:top w:val="none" w:sz="0" w:space="0" w:color="auto"/>
                <w:left w:val="none" w:sz="0" w:space="0" w:color="auto"/>
                <w:bottom w:val="none" w:sz="0" w:space="0" w:color="auto"/>
                <w:right w:val="none" w:sz="0" w:space="0" w:color="auto"/>
              </w:divBdr>
              <w:divsChild>
                <w:div w:id="1243678740">
                  <w:marLeft w:val="0"/>
                  <w:marRight w:val="0"/>
                  <w:marTop w:val="0"/>
                  <w:marBottom w:val="225"/>
                  <w:divBdr>
                    <w:top w:val="none" w:sz="0" w:space="0" w:color="auto"/>
                    <w:left w:val="none" w:sz="0" w:space="0" w:color="auto"/>
                    <w:bottom w:val="none" w:sz="0" w:space="0" w:color="auto"/>
                    <w:right w:val="none" w:sz="0" w:space="0" w:color="auto"/>
                  </w:divBdr>
                  <w:divsChild>
                    <w:div w:id="1785803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860489">
      <w:bodyDiv w:val="1"/>
      <w:marLeft w:val="0"/>
      <w:marRight w:val="0"/>
      <w:marTop w:val="0"/>
      <w:marBottom w:val="0"/>
      <w:divBdr>
        <w:top w:val="none" w:sz="0" w:space="0" w:color="auto"/>
        <w:left w:val="none" w:sz="0" w:space="0" w:color="auto"/>
        <w:bottom w:val="none" w:sz="0" w:space="0" w:color="auto"/>
        <w:right w:val="none" w:sz="0" w:space="0" w:color="auto"/>
      </w:divBdr>
      <w:divsChild>
        <w:div w:id="1798834212">
          <w:marLeft w:val="420"/>
          <w:marRight w:val="0"/>
          <w:marTop w:val="0"/>
          <w:marBottom w:val="0"/>
          <w:divBdr>
            <w:top w:val="none" w:sz="0" w:space="0" w:color="auto"/>
            <w:left w:val="none" w:sz="0" w:space="0" w:color="auto"/>
            <w:bottom w:val="none" w:sz="0" w:space="0" w:color="auto"/>
            <w:right w:val="none" w:sz="0" w:space="0" w:color="auto"/>
          </w:divBdr>
          <w:divsChild>
            <w:div w:id="2020354547">
              <w:marLeft w:val="0"/>
              <w:marRight w:val="0"/>
              <w:marTop w:val="0"/>
              <w:marBottom w:val="0"/>
              <w:divBdr>
                <w:top w:val="none" w:sz="0" w:space="0" w:color="auto"/>
                <w:left w:val="none" w:sz="0" w:space="0" w:color="auto"/>
                <w:bottom w:val="none" w:sz="0" w:space="0" w:color="auto"/>
                <w:right w:val="none" w:sz="0" w:space="0" w:color="auto"/>
              </w:divBdr>
              <w:divsChild>
                <w:div w:id="1960990369">
                  <w:marLeft w:val="0"/>
                  <w:marRight w:val="0"/>
                  <w:marTop w:val="0"/>
                  <w:marBottom w:val="225"/>
                  <w:divBdr>
                    <w:top w:val="none" w:sz="0" w:space="0" w:color="auto"/>
                    <w:left w:val="none" w:sz="0" w:space="0" w:color="auto"/>
                    <w:bottom w:val="none" w:sz="0" w:space="0" w:color="auto"/>
                    <w:right w:val="none" w:sz="0" w:space="0" w:color="auto"/>
                  </w:divBdr>
                  <w:divsChild>
                    <w:div w:id="124351245">
                      <w:marLeft w:val="0"/>
                      <w:marRight w:val="0"/>
                      <w:marTop w:val="0"/>
                      <w:marBottom w:val="0"/>
                      <w:divBdr>
                        <w:top w:val="none" w:sz="0" w:space="0" w:color="auto"/>
                        <w:left w:val="none" w:sz="0" w:space="0" w:color="auto"/>
                        <w:bottom w:val="none" w:sz="0" w:space="0" w:color="auto"/>
                        <w:right w:val="none" w:sz="0" w:space="0" w:color="auto"/>
                      </w:divBdr>
                      <w:divsChild>
                        <w:div w:id="256524953">
                          <w:marLeft w:val="0"/>
                          <w:marRight w:val="0"/>
                          <w:marTop w:val="0"/>
                          <w:marBottom w:val="0"/>
                          <w:divBdr>
                            <w:top w:val="none" w:sz="0" w:space="0" w:color="auto"/>
                            <w:left w:val="none" w:sz="0" w:space="0" w:color="auto"/>
                            <w:bottom w:val="none" w:sz="0" w:space="0" w:color="auto"/>
                            <w:right w:val="none" w:sz="0" w:space="0" w:color="auto"/>
                          </w:divBdr>
                          <w:divsChild>
                            <w:div w:id="1149132897">
                              <w:marLeft w:val="0"/>
                              <w:marRight w:val="0"/>
                              <w:marTop w:val="0"/>
                              <w:marBottom w:val="0"/>
                              <w:divBdr>
                                <w:top w:val="none" w:sz="0" w:space="0" w:color="auto"/>
                                <w:left w:val="none" w:sz="0" w:space="0" w:color="auto"/>
                                <w:bottom w:val="none" w:sz="0" w:space="0" w:color="auto"/>
                                <w:right w:val="none" w:sz="0" w:space="0" w:color="auto"/>
                              </w:divBdr>
                            </w:div>
                            <w:div w:id="248273680">
                              <w:marLeft w:val="0"/>
                              <w:marRight w:val="0"/>
                              <w:marTop w:val="0"/>
                              <w:marBottom w:val="0"/>
                              <w:divBdr>
                                <w:top w:val="single" w:sz="2" w:space="8" w:color="D9D9D9"/>
                                <w:left w:val="single" w:sz="6" w:space="8" w:color="D9D9D9"/>
                                <w:bottom w:val="single" w:sz="6" w:space="8" w:color="D9D9D9"/>
                                <w:right w:val="single" w:sz="6" w:space="8" w:color="D9D9D9"/>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flexikon.doccheck.com/de/Sympathisch" TargetMode="External"/><Relationship Id="rId21" Type="http://schemas.openxmlformats.org/officeDocument/2006/relationships/hyperlink" Target="http://flexikon.doccheck.com/de/Aldosteron" TargetMode="External"/><Relationship Id="rId42" Type="http://schemas.openxmlformats.org/officeDocument/2006/relationships/hyperlink" Target="https://de.wikipedia.org/wiki/Dicarbons%C3%A4uren" TargetMode="External"/><Relationship Id="rId47" Type="http://schemas.openxmlformats.org/officeDocument/2006/relationships/hyperlink" Target="https://de.wikipedia.org/wiki/GLUT-2" TargetMode="External"/><Relationship Id="rId63" Type="http://schemas.openxmlformats.org/officeDocument/2006/relationships/image" Target="media/image7.tmp"/><Relationship Id="rId68" Type="http://schemas.openxmlformats.org/officeDocument/2006/relationships/hyperlink" Target="http://flexikon.doccheck.com/de/Blut" TargetMode="External"/><Relationship Id="rId84" Type="http://schemas.openxmlformats.org/officeDocument/2006/relationships/hyperlink" Target="http://flexikon.doccheck.com/de/Bauchh%C3%B6hle" TargetMode="External"/><Relationship Id="rId89" Type="http://schemas.openxmlformats.org/officeDocument/2006/relationships/hyperlink" Target="http://flexikon.doccheck.com/de/index.php?title=Osmotischer_Gradient&amp;action=edit&amp;redlink=1" TargetMode="External"/><Relationship Id="rId2" Type="http://schemas.openxmlformats.org/officeDocument/2006/relationships/numbering" Target="numbering.xml"/><Relationship Id="rId16" Type="http://schemas.openxmlformats.org/officeDocument/2006/relationships/hyperlink" Target="http://flexikon.doccheck.com/de/Podozyt" TargetMode="External"/><Relationship Id="rId29" Type="http://schemas.openxmlformats.org/officeDocument/2006/relationships/hyperlink" Target="http://flexikon.doccheck.com/de/Katecholamin" TargetMode="External"/><Relationship Id="rId107" Type="http://schemas.openxmlformats.org/officeDocument/2006/relationships/image" Target="media/image15.tmp"/><Relationship Id="rId11" Type="http://schemas.openxmlformats.org/officeDocument/2006/relationships/hyperlink" Target="http://flexikon.doccheck.com/de/Juxtaglomerul%C3%A4rer_Apparat" TargetMode="External"/><Relationship Id="rId24" Type="http://schemas.openxmlformats.org/officeDocument/2006/relationships/hyperlink" Target="http://flexikon.doccheck.com/de/index.php?title=%C3%9F-Rezeptor&amp;action=edit&amp;redlink=1" TargetMode="External"/><Relationship Id="rId32" Type="http://schemas.openxmlformats.org/officeDocument/2006/relationships/image" Target="media/image4.tmp"/><Relationship Id="rId37" Type="http://schemas.openxmlformats.org/officeDocument/2006/relationships/hyperlink" Target="https://de.wikipedia.org/wiki/Membrantransport" TargetMode="External"/><Relationship Id="rId40" Type="http://schemas.openxmlformats.org/officeDocument/2006/relationships/hyperlink" Target="https://de.wikipedia.org/wiki/Aminos%C3%A4uren" TargetMode="External"/><Relationship Id="rId45" Type="http://schemas.openxmlformats.org/officeDocument/2006/relationships/hyperlink" Target="https://de.wikipedia.org/wiki/Natrium/Glucose-Cotransporter_1" TargetMode="External"/><Relationship Id="rId53" Type="http://schemas.openxmlformats.org/officeDocument/2006/relationships/hyperlink" Target="https://de.wikipedia.org/wiki/Megalin" TargetMode="External"/><Relationship Id="rId58" Type="http://schemas.openxmlformats.org/officeDocument/2006/relationships/hyperlink" Target="https://de.wikipedia.org/wiki/Vitamine" TargetMode="External"/><Relationship Id="rId66" Type="http://schemas.openxmlformats.org/officeDocument/2006/relationships/image" Target="media/image10.tmp"/><Relationship Id="rId74" Type="http://schemas.openxmlformats.org/officeDocument/2006/relationships/hyperlink" Target="http://flexikon.doccheck.com/de/Blutzelle" TargetMode="External"/><Relationship Id="rId79" Type="http://schemas.openxmlformats.org/officeDocument/2006/relationships/hyperlink" Target="http://flexikon.doccheck.com/de/Nierenersatzverfahren" TargetMode="External"/><Relationship Id="rId87" Type="http://schemas.openxmlformats.org/officeDocument/2006/relationships/hyperlink" Target="http://flexikon.doccheck.com/de/index.php?title=Glukosel&amp;action=edit&amp;redlink=1" TargetMode="External"/><Relationship Id="rId102" Type="http://schemas.openxmlformats.org/officeDocument/2006/relationships/hyperlink" Target="http://flexikon.doccheck.com/de/CCPD" TargetMode="External"/><Relationship Id="rId110"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5.tmp"/><Relationship Id="rId82" Type="http://schemas.openxmlformats.org/officeDocument/2006/relationships/hyperlink" Target="http://flexikon.doccheck.com/de/Peritoneum" TargetMode="External"/><Relationship Id="rId90" Type="http://schemas.openxmlformats.org/officeDocument/2006/relationships/hyperlink" Target="http://flexikon.doccheck.com/de/H%C3%A4modialyse" TargetMode="External"/><Relationship Id="rId95" Type="http://schemas.openxmlformats.org/officeDocument/2006/relationships/hyperlink" Target="http://flexikon.doccheck.com/de/Subkutan" TargetMode="External"/><Relationship Id="rId19" Type="http://schemas.openxmlformats.org/officeDocument/2006/relationships/image" Target="media/image1.tmp"/><Relationship Id="rId14" Type="http://schemas.openxmlformats.org/officeDocument/2006/relationships/hyperlink" Target="http://flexikon.doccheck.com/de/Endothel" TargetMode="External"/><Relationship Id="rId22" Type="http://schemas.openxmlformats.org/officeDocument/2006/relationships/hyperlink" Target="http://flexikon.doccheck.com/de/Distales_Konvolut" TargetMode="External"/><Relationship Id="rId27" Type="http://schemas.openxmlformats.org/officeDocument/2006/relationships/hyperlink" Target="http://flexikon.doccheck.com/de/Adrenerg" TargetMode="External"/><Relationship Id="rId30" Type="http://schemas.openxmlformats.org/officeDocument/2006/relationships/image" Target="media/image2.tmp"/><Relationship Id="rId35" Type="http://schemas.openxmlformats.org/officeDocument/2006/relationships/hyperlink" Target="https://de.wikipedia.org/wiki/Membrantransport" TargetMode="External"/><Relationship Id="rId43" Type="http://schemas.openxmlformats.org/officeDocument/2006/relationships/hyperlink" Target="https://de.wikipedia.org/wiki/Kohlenstoffdioxid" TargetMode="External"/><Relationship Id="rId48" Type="http://schemas.openxmlformats.org/officeDocument/2006/relationships/hyperlink" Target="https://de.wikipedia.org/wiki/GLUT-5" TargetMode="External"/><Relationship Id="rId56" Type="http://schemas.openxmlformats.org/officeDocument/2006/relationships/hyperlink" Target="https://de.wikipedia.org/wiki/Proteolyse" TargetMode="External"/><Relationship Id="rId64" Type="http://schemas.openxmlformats.org/officeDocument/2006/relationships/image" Target="media/image8.tmp"/><Relationship Id="rId69" Type="http://schemas.openxmlformats.org/officeDocument/2006/relationships/hyperlink" Target="http://flexikon.doccheck.com/de/Semipermeabel" TargetMode="External"/><Relationship Id="rId77" Type="http://schemas.openxmlformats.org/officeDocument/2006/relationships/hyperlink" Target="http://flexikon.doccheck.com/de/Dialyseshunt" TargetMode="External"/><Relationship Id="rId100" Type="http://schemas.openxmlformats.org/officeDocument/2006/relationships/hyperlink" Target="http://flexikon.doccheck.com/de/Dacron" TargetMode="External"/><Relationship Id="rId105" Type="http://schemas.openxmlformats.org/officeDocument/2006/relationships/image" Target="media/image13.tmp"/><Relationship Id="rId8" Type="http://schemas.openxmlformats.org/officeDocument/2006/relationships/hyperlink" Target="http://flexikon.doccheck.com/de/Gef%C3%A4%C3%9F" TargetMode="External"/><Relationship Id="rId51" Type="http://schemas.openxmlformats.org/officeDocument/2006/relationships/hyperlink" Target="https://de.wikipedia.org/wiki/Cystatin_C" TargetMode="External"/><Relationship Id="rId72" Type="http://schemas.openxmlformats.org/officeDocument/2006/relationships/hyperlink" Target="http://flexikon.doccheck.com/de/Dialysierfl%C3%BCssigkeit" TargetMode="External"/><Relationship Id="rId80" Type="http://schemas.openxmlformats.org/officeDocument/2006/relationships/hyperlink" Target="http://flexikon.doccheck.com/de/Niereninsuffizienz" TargetMode="External"/><Relationship Id="rId85" Type="http://schemas.openxmlformats.org/officeDocument/2006/relationships/hyperlink" Target="http://flexikon.doccheck.com/de/Semipermeable_Membran" TargetMode="External"/><Relationship Id="rId93" Type="http://schemas.openxmlformats.org/officeDocument/2006/relationships/hyperlink" Target="http://flexikon.doccheck.com/de/Protein" TargetMode="External"/><Relationship Id="rId98" Type="http://schemas.openxmlformats.org/officeDocument/2006/relationships/hyperlink" Target="http://flexikon.doccheck.com/de/index.php?title=TWH-Katheter&amp;action=edit&amp;redlink=1" TargetMode="External"/><Relationship Id="rId3" Type="http://schemas.openxmlformats.org/officeDocument/2006/relationships/styles" Target="styles.xml"/><Relationship Id="rId12" Type="http://schemas.openxmlformats.org/officeDocument/2006/relationships/hyperlink" Target="http://flexikon.doccheck.com/de/Kapillare" TargetMode="External"/><Relationship Id="rId17" Type="http://schemas.openxmlformats.org/officeDocument/2006/relationships/hyperlink" Target="http://flexikon.doccheck.com/de/Podozyt" TargetMode="External"/><Relationship Id="rId25" Type="http://schemas.openxmlformats.org/officeDocument/2006/relationships/hyperlink" Target="http://flexikon.doccheck.com/de/Zellmembran" TargetMode="External"/><Relationship Id="rId33" Type="http://schemas.openxmlformats.org/officeDocument/2006/relationships/hyperlink" Target="https://de.wikipedia.org/wiki/Hydrogencarbonate" TargetMode="External"/><Relationship Id="rId38" Type="http://schemas.openxmlformats.org/officeDocument/2006/relationships/hyperlink" Target="https://de.wikipedia.org/wiki/Glucose" TargetMode="External"/><Relationship Id="rId46" Type="http://schemas.openxmlformats.org/officeDocument/2006/relationships/hyperlink" Target="https://de.wikipedia.org/wiki/Genexpression" TargetMode="External"/><Relationship Id="rId59" Type="http://schemas.openxmlformats.org/officeDocument/2006/relationships/hyperlink" Target="https://de.wikipedia.org/wiki/Plasmaprotein" TargetMode="External"/><Relationship Id="rId67" Type="http://schemas.openxmlformats.org/officeDocument/2006/relationships/hyperlink" Target="http://flexikon.doccheck.com/de/Extrakorporal" TargetMode="External"/><Relationship Id="rId103" Type="http://schemas.openxmlformats.org/officeDocument/2006/relationships/image" Target="media/image11.tmp"/><Relationship Id="rId108" Type="http://schemas.openxmlformats.org/officeDocument/2006/relationships/header" Target="header1.xml"/><Relationship Id="rId20" Type="http://schemas.openxmlformats.org/officeDocument/2006/relationships/hyperlink" Target="http://flexikon.doccheck.com/de/Renin-Angiotensin-Aldosteron-System" TargetMode="External"/><Relationship Id="rId41" Type="http://schemas.openxmlformats.org/officeDocument/2006/relationships/hyperlink" Target="https://de.wikipedia.org/wiki/Carbons%C3%A4uren" TargetMode="External"/><Relationship Id="rId54" Type="http://schemas.openxmlformats.org/officeDocument/2006/relationships/hyperlink" Target="https://de.wikipedia.org/wiki/Cubilin" TargetMode="External"/><Relationship Id="rId62" Type="http://schemas.openxmlformats.org/officeDocument/2006/relationships/image" Target="media/image6.tmp"/><Relationship Id="rId70" Type="http://schemas.openxmlformats.org/officeDocument/2006/relationships/hyperlink" Target="http://flexikon.doccheck.com/de/Nierenersatzverfahren" TargetMode="External"/><Relationship Id="rId75" Type="http://schemas.openxmlformats.org/officeDocument/2006/relationships/hyperlink" Target="http://flexikon.doccheck.com/de/Plasmaprotein" TargetMode="External"/><Relationship Id="rId83" Type="http://schemas.openxmlformats.org/officeDocument/2006/relationships/hyperlink" Target="http://flexikon.doccheck.com/de/Dialysat" TargetMode="External"/><Relationship Id="rId88" Type="http://schemas.openxmlformats.org/officeDocument/2006/relationships/hyperlink" Target="http://flexikon.doccheck.com/de/Osmolarit%C3%A4t" TargetMode="External"/><Relationship Id="rId91" Type="http://schemas.openxmlformats.org/officeDocument/2006/relationships/hyperlink" Target="http://flexikon.doccheck.com/de/Harnstoff" TargetMode="External"/><Relationship Id="rId96" Type="http://schemas.openxmlformats.org/officeDocument/2006/relationships/hyperlink" Target="http://flexikon.doccheck.com/de/index.php?title=Tenckhoff-Katheter&amp;action=edit&amp;redlink=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flexikon.doccheck.com/de/Basallamina" TargetMode="External"/><Relationship Id="rId23" Type="http://schemas.openxmlformats.org/officeDocument/2006/relationships/hyperlink" Target="http://flexikon.doccheck.com/de/Barorezeptor" TargetMode="External"/><Relationship Id="rId28" Type="http://schemas.openxmlformats.org/officeDocument/2006/relationships/hyperlink" Target="http://flexikon.doccheck.com/de/Innervation" TargetMode="External"/><Relationship Id="rId36" Type="http://schemas.openxmlformats.org/officeDocument/2006/relationships/hyperlink" Target="https://de.wikipedia.org/wiki/Proton_(Chemie)" TargetMode="External"/><Relationship Id="rId49" Type="http://schemas.openxmlformats.org/officeDocument/2006/relationships/hyperlink" Target="https://de.wikipedia.org/wiki/Glomerulum" TargetMode="External"/><Relationship Id="rId57" Type="http://schemas.openxmlformats.org/officeDocument/2006/relationships/hyperlink" Target="https://de.wikipedia.org/wiki/Lysosom" TargetMode="External"/><Relationship Id="rId106" Type="http://schemas.openxmlformats.org/officeDocument/2006/relationships/image" Target="media/image14.tmp"/><Relationship Id="rId10" Type="http://schemas.openxmlformats.org/officeDocument/2006/relationships/hyperlink" Target="http://flexikon.doccheck.com/de/Glomerulus" TargetMode="External"/><Relationship Id="rId31" Type="http://schemas.openxmlformats.org/officeDocument/2006/relationships/image" Target="media/image3.tmp"/><Relationship Id="rId44" Type="http://schemas.openxmlformats.org/officeDocument/2006/relationships/hyperlink" Target="https://de.wikipedia.org/w/index.php?title=Natrium/Glucose-Cotransporter_2&amp;action=edit&amp;redlink=1" TargetMode="External"/><Relationship Id="rId52" Type="http://schemas.openxmlformats.org/officeDocument/2006/relationships/hyperlink" Target="https://de.wikipedia.org/wiki/Membranprotein" TargetMode="External"/><Relationship Id="rId60" Type="http://schemas.openxmlformats.org/officeDocument/2006/relationships/hyperlink" Target="https://de.wikipedia.org/wiki/Spurenelement" TargetMode="External"/><Relationship Id="rId65" Type="http://schemas.openxmlformats.org/officeDocument/2006/relationships/image" Target="media/image9.tmp"/><Relationship Id="rId73" Type="http://schemas.openxmlformats.org/officeDocument/2006/relationships/hyperlink" Target="http://flexikon.doccheck.com/de/Konzentrationsgradient" TargetMode="External"/><Relationship Id="rId78" Type="http://schemas.openxmlformats.org/officeDocument/2006/relationships/hyperlink" Target="http://flexikon.doccheck.com/de/Heimh%C3%A4modialyse" TargetMode="External"/><Relationship Id="rId81" Type="http://schemas.openxmlformats.org/officeDocument/2006/relationships/hyperlink" Target="http://flexikon.doccheck.com/de/Dialyse" TargetMode="External"/><Relationship Id="rId86" Type="http://schemas.openxmlformats.org/officeDocument/2006/relationships/hyperlink" Target="http://flexikon.doccheck.com/de/Diffusion" TargetMode="External"/><Relationship Id="rId94" Type="http://schemas.openxmlformats.org/officeDocument/2006/relationships/hyperlink" Target="http://flexikon.doccheck.com/de/Katheter" TargetMode="External"/><Relationship Id="rId99" Type="http://schemas.openxmlformats.org/officeDocument/2006/relationships/hyperlink" Target="http://flexikon.doccheck.com/de/Becken" TargetMode="External"/><Relationship Id="rId101" Type="http://schemas.openxmlformats.org/officeDocument/2006/relationships/hyperlink" Target="http://flexikon.doccheck.com/de/Kontinuierliche_zyklische_Peritonealdialyse" TargetMode="External"/><Relationship Id="rId4" Type="http://schemas.openxmlformats.org/officeDocument/2006/relationships/settings" Target="settings.xml"/><Relationship Id="rId9" Type="http://schemas.openxmlformats.org/officeDocument/2006/relationships/hyperlink" Target="http://flexikon.doccheck.com/de/Arteriola_afferens" TargetMode="External"/><Relationship Id="rId13" Type="http://schemas.openxmlformats.org/officeDocument/2006/relationships/hyperlink" Target="http://flexikon.doccheck.com/de/Arteriola_efferens" TargetMode="External"/><Relationship Id="rId18" Type="http://schemas.openxmlformats.org/officeDocument/2006/relationships/hyperlink" Target="http://flexikon.doccheck.com/de/Schlitzdiaphragma" TargetMode="External"/><Relationship Id="rId39" Type="http://schemas.openxmlformats.org/officeDocument/2006/relationships/hyperlink" Target="https://de.wikipedia.org/wiki/Galactose" TargetMode="External"/><Relationship Id="rId109" Type="http://schemas.openxmlformats.org/officeDocument/2006/relationships/fontTable" Target="fontTable.xml"/><Relationship Id="rId34" Type="http://schemas.openxmlformats.org/officeDocument/2006/relationships/hyperlink" Target="https://de.wikipedia.org/wiki/Solvent_Drag" TargetMode="External"/><Relationship Id="rId50" Type="http://schemas.openxmlformats.org/officeDocument/2006/relationships/hyperlink" Target="https://de.wikipedia.org/wiki/Aminos%C3%A4uren" TargetMode="External"/><Relationship Id="rId55" Type="http://schemas.openxmlformats.org/officeDocument/2006/relationships/hyperlink" Target="https://de.wikipedia.org/wiki/Anatomische_Lage-_und_Richtungsbezeichnungen" TargetMode="External"/><Relationship Id="rId76" Type="http://schemas.openxmlformats.org/officeDocument/2006/relationships/hyperlink" Target="http://flexikon.doccheck.com/de/Blutplasma" TargetMode="External"/><Relationship Id="rId97" Type="http://schemas.openxmlformats.org/officeDocument/2006/relationships/hyperlink" Target="http://flexikon.doccheck.com/de/index.php?title=Swan-Neck-Katheter&amp;action=edit&amp;redlink=1" TargetMode="External"/><Relationship Id="rId104" Type="http://schemas.openxmlformats.org/officeDocument/2006/relationships/image" Target="media/image12.tmp"/><Relationship Id="rId7" Type="http://schemas.openxmlformats.org/officeDocument/2006/relationships/endnotes" Target="endnotes.xml"/><Relationship Id="rId71" Type="http://schemas.openxmlformats.org/officeDocument/2006/relationships/hyperlink" Target="http://flexikon.doccheck.com/de/Dialysator" TargetMode="External"/><Relationship Id="rId92" Type="http://schemas.openxmlformats.org/officeDocument/2006/relationships/hyperlink" Target="http://flexikon.doccheck.com/de/Kreatin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5B313-5D0E-43B1-ABFF-B997B29FC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2907</Words>
  <Characters>16573</Characters>
  <Application>Microsoft Office Word</Application>
  <DocSecurity>0</DocSecurity>
  <Lines>138</Lines>
  <Paragraphs>38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Nathalie Renz</dc:creator>
  <cp:keywords/>
  <dc:description/>
  <cp:lastModifiedBy>Langer FP</cp:lastModifiedBy>
  <cp:revision>5</cp:revision>
  <dcterms:created xsi:type="dcterms:W3CDTF">2016-01-13T08:31:00Z</dcterms:created>
  <dcterms:modified xsi:type="dcterms:W3CDTF">2016-01-31T14:19:00Z</dcterms:modified>
</cp:coreProperties>
</file>