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DE1AE" w14:textId="31AF42BB" w:rsidR="003D2C21" w:rsidRDefault="008838FC" w:rsidP="008838FC">
      <w:pPr>
        <w:pStyle w:val="Titel"/>
        <w:jc w:val="center"/>
      </w:pPr>
      <w:r>
        <w:t>Prüfung</w:t>
      </w:r>
      <w:r w:rsidR="00256A7C">
        <w:t>sfragenkatalog</w:t>
      </w:r>
      <w:r w:rsidR="0050443E">
        <w:t xml:space="preserve"> 2020-2022</w:t>
      </w:r>
    </w:p>
    <w:p w14:paraId="1590AB8D" w14:textId="31CF7B0E" w:rsidR="008838FC" w:rsidRDefault="008838FC" w:rsidP="008838FC">
      <w:pPr>
        <w:spacing w:after="0"/>
        <w:rPr>
          <w:b/>
        </w:rPr>
      </w:pPr>
    </w:p>
    <w:p w14:paraId="5111C56B" w14:textId="0738BF05" w:rsidR="008838FC" w:rsidRDefault="008838FC" w:rsidP="008838FC">
      <w:pPr>
        <w:pStyle w:val="berschrift1"/>
      </w:pPr>
      <w:r>
        <w:t xml:space="preserve">Prüfung </w:t>
      </w:r>
      <w:r w:rsidR="00B12696">
        <w:t>2</w:t>
      </w:r>
    </w:p>
    <w:p w14:paraId="6841F38A" w14:textId="2704D146" w:rsidR="008838FC" w:rsidRPr="008838FC" w:rsidRDefault="008838FC" w:rsidP="008838FC">
      <w:pPr>
        <w:spacing w:after="0"/>
      </w:pPr>
    </w:p>
    <w:p w14:paraId="036A6979"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Wie hängen der totale Streufaktor, der Strahlerkopfstreufaktor und der Phantomstreufaktor zusammen und wie bestimmt man diese? (4 P.)</w:t>
      </w:r>
    </w:p>
    <w:p w14:paraId="5DF2885F"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7BEE7283"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Beschreibe kurz (Stichpunkte reichen), wie die Kalibrierung des Dosismonitors durchgeführt wird. (3 P.)</w:t>
      </w:r>
    </w:p>
    <w:p w14:paraId="6D4FA69B"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0F97C670" w14:textId="268E7CC9"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Welche Schwierigkeit ergibt sich beim Messen der Oberflächendosis im Wasserphantom und wie kann ich dieses Problem lösen. (2 P.)</w:t>
      </w:r>
    </w:p>
    <w:p w14:paraId="4355E59D" w14:textId="77777777" w:rsidR="00256A7C" w:rsidRPr="005E1A73" w:rsidRDefault="00256A7C" w:rsidP="00256A7C">
      <w:pPr>
        <w:pBdr>
          <w:top w:val="nil"/>
          <w:left w:val="nil"/>
          <w:bottom w:val="nil"/>
          <w:right w:val="nil"/>
          <w:between w:val="nil"/>
        </w:pBdr>
        <w:spacing w:after="0" w:line="360" w:lineRule="auto"/>
        <w:ind w:left="720"/>
        <w:rPr>
          <w:rFonts w:cstheme="minorHAnsi"/>
          <w:b/>
          <w:bCs/>
          <w:sz w:val="20"/>
          <w:szCs w:val="20"/>
        </w:rPr>
      </w:pPr>
    </w:p>
    <w:p w14:paraId="4998033E" w14:textId="1A3CC730" w:rsidR="00B12696" w:rsidRPr="003161BA" w:rsidRDefault="00B12696" w:rsidP="003161BA">
      <w:pPr>
        <w:pStyle w:val="Listenabsatz"/>
        <w:numPr>
          <w:ilvl w:val="0"/>
          <w:numId w:val="4"/>
        </w:numPr>
        <w:rPr>
          <w:rFonts w:cstheme="minorHAnsi"/>
          <w:b/>
          <w:bCs/>
          <w:sz w:val="20"/>
          <w:szCs w:val="20"/>
        </w:rPr>
      </w:pPr>
      <w:r w:rsidRPr="003161BA">
        <w:rPr>
          <w:rFonts w:cstheme="minorHAnsi"/>
          <w:b/>
          <w:bCs/>
          <w:sz w:val="20"/>
          <w:szCs w:val="20"/>
        </w:rPr>
        <w:t xml:space="preserve">Nenne die 4 wichtigsten Korrektionsfaktoren der insgesamt 7 nach DIN 6800-2 für Ionisationskammern aus der Gleichung zur Ermittlung der Wasser-Energiedosis für </w:t>
      </w:r>
      <w:r w:rsidR="003161BA" w:rsidRPr="003161BA">
        <w:rPr>
          <w:rFonts w:cstheme="minorHAnsi"/>
          <w:b/>
          <w:bCs/>
          <w:sz w:val="20"/>
          <w:szCs w:val="20"/>
        </w:rPr>
        <w:t>Photonen- und Elektronenstrahlung und schreibe dazu, welchen Effekt diese jeweils berücksichtigen. (6 P.)</w:t>
      </w:r>
    </w:p>
    <w:p w14:paraId="7C961EDE" w14:textId="77777777" w:rsidR="00B12696" w:rsidRPr="005E1A73" w:rsidRDefault="00B12696" w:rsidP="00B12696">
      <w:pPr>
        <w:pBdr>
          <w:top w:val="nil"/>
          <w:left w:val="nil"/>
          <w:bottom w:val="nil"/>
          <w:right w:val="nil"/>
          <w:between w:val="nil"/>
        </w:pBdr>
        <w:spacing w:after="0"/>
        <w:ind w:left="720"/>
        <w:rPr>
          <w:rFonts w:cstheme="minorHAnsi"/>
          <w:b/>
          <w:bCs/>
          <w:sz w:val="20"/>
          <w:szCs w:val="20"/>
        </w:rPr>
      </w:pPr>
    </w:p>
    <w:p w14:paraId="3FA35C16"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Welche 4 wichtigen Tiefen der Elektronen-Tiefendosiskurve werden üblicherweise ermittelt und welche Bedeutung haben sie? (4 P.)</w:t>
      </w:r>
    </w:p>
    <w:p w14:paraId="5D85A811"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7E17CB7F"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Beschreibe Sinn und Zweck des kleinen Kalibrierfeldes in der „Kleinfeldernorm“ DIN 6809-8. Wie ist dieses definiert. (3 P.)</w:t>
      </w:r>
    </w:p>
    <w:p w14:paraId="357097FB"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1481839F"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Welche Tiefendosisverteilung (PDD bei konstantem SSD oder TPR bei konstantem SID) fällt mit zunehmender Tiefe hinter dem Dosismaximum schneller ab und warum? (2 P.)</w:t>
      </w:r>
    </w:p>
    <w:p w14:paraId="3213FD00" w14:textId="4576CE56"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5B27552A"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Warum muss bei der Messung des Strahlerkopfstreufaktors das Strahlenfeld immer größer sein als der Querschnitt des Miniphantoms. (2 P.)</w:t>
      </w:r>
    </w:p>
    <w:p w14:paraId="56D2AE63"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4E65276B"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Gibt die Bezugsbedingungen für die Kalibrierung nach DIN 6800-2 für folgende Größen an: Strahlungsqualität, Messtiefe in Wasser, Temperatur, Luftdruck, Sättigung, Positionierung der Ionisationskammer (3 P.)</w:t>
      </w:r>
    </w:p>
    <w:p w14:paraId="671A499B" w14:textId="77777777" w:rsidR="00B12696" w:rsidRPr="005E1A73" w:rsidRDefault="00B12696" w:rsidP="00B12696">
      <w:pPr>
        <w:pBdr>
          <w:top w:val="nil"/>
          <w:left w:val="nil"/>
          <w:bottom w:val="nil"/>
          <w:right w:val="nil"/>
          <w:between w:val="nil"/>
        </w:pBdr>
        <w:spacing w:after="0"/>
        <w:ind w:left="720"/>
        <w:rPr>
          <w:rFonts w:cstheme="minorHAnsi"/>
          <w:b/>
          <w:bCs/>
          <w:sz w:val="20"/>
          <w:szCs w:val="20"/>
        </w:rPr>
      </w:pPr>
    </w:p>
    <w:p w14:paraId="0E9E82FB" w14:textId="77777777" w:rsidR="00B12696"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Warum werden für Elektronen in der Regel offenen Tubusse und keine geschlossenen Tubusse verwendet? (2 P.)</w:t>
      </w:r>
    </w:p>
    <w:p w14:paraId="3CF5B611" w14:textId="77777777" w:rsidR="00D00862" w:rsidRPr="005E1A73" w:rsidRDefault="00D00862" w:rsidP="00D00862">
      <w:pPr>
        <w:pBdr>
          <w:top w:val="nil"/>
          <w:left w:val="nil"/>
          <w:bottom w:val="nil"/>
          <w:right w:val="nil"/>
          <w:between w:val="nil"/>
        </w:pBdr>
        <w:spacing w:after="0" w:line="360" w:lineRule="auto"/>
        <w:rPr>
          <w:rFonts w:cstheme="minorHAnsi"/>
          <w:b/>
          <w:bCs/>
          <w:sz w:val="20"/>
          <w:szCs w:val="20"/>
        </w:rPr>
      </w:pPr>
    </w:p>
    <w:p w14:paraId="7BBC4858"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Welche Funktionen kann eine radioaktive Kontrollvorrichtung in der Dosimetrie mit luftgefüllten Ionisationskammern spielen? (2 P.)</w:t>
      </w:r>
    </w:p>
    <w:p w14:paraId="7CDE6607" w14:textId="4963614F"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Was ist der Energieparameter für die Dosimetrie von Elektronenstrahlung und wie bestimmt man diesen mit einer luftgefüllten Ionisationskammer? Welcher Schritt würde mit einer wassergefüllten Ionisationskammer entfallen? (4 P.)</w:t>
      </w:r>
    </w:p>
    <w:p w14:paraId="65C6E633"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30FD749F"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Warum wird die Positionierungsvorschrift nach DIN 6800-2 nicht auch bei der Kalibrierung verwendet? (2 P.)</w:t>
      </w:r>
    </w:p>
    <w:p w14:paraId="2E224A38"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08C929A4" w14:textId="77777777" w:rsidR="00B12696" w:rsidRPr="005E1A73" w:rsidRDefault="00B12696" w:rsidP="00B12696">
      <w:pPr>
        <w:numPr>
          <w:ilvl w:val="0"/>
          <w:numId w:val="4"/>
        </w:numPr>
        <w:pBdr>
          <w:top w:val="nil"/>
          <w:left w:val="nil"/>
          <w:bottom w:val="nil"/>
          <w:right w:val="nil"/>
          <w:between w:val="nil"/>
        </w:pBdr>
        <w:spacing w:after="0" w:line="360" w:lineRule="auto"/>
        <w:rPr>
          <w:rFonts w:cstheme="minorHAnsi"/>
          <w:b/>
          <w:bCs/>
          <w:sz w:val="20"/>
          <w:szCs w:val="20"/>
        </w:rPr>
      </w:pPr>
      <w:r w:rsidRPr="005E1A73">
        <w:rPr>
          <w:rFonts w:cstheme="minorHAnsi"/>
          <w:b/>
          <w:bCs/>
          <w:sz w:val="20"/>
          <w:szCs w:val="20"/>
        </w:rPr>
        <w:t>Was versteht man unter der effektiven Dosis und welche Größen benötigt man, um diese bestimmen zu können? (3 P.)</w:t>
      </w:r>
    </w:p>
    <w:p w14:paraId="20FC610D" w14:textId="77777777" w:rsidR="00B12696" w:rsidRPr="005E1A73" w:rsidRDefault="00B12696" w:rsidP="00B12696">
      <w:pPr>
        <w:pBdr>
          <w:top w:val="nil"/>
          <w:left w:val="nil"/>
          <w:bottom w:val="nil"/>
          <w:right w:val="nil"/>
          <w:between w:val="nil"/>
        </w:pBdr>
        <w:spacing w:after="0" w:line="360" w:lineRule="auto"/>
        <w:rPr>
          <w:rFonts w:cstheme="minorHAnsi"/>
          <w:b/>
          <w:bCs/>
          <w:sz w:val="20"/>
          <w:szCs w:val="20"/>
        </w:rPr>
      </w:pPr>
    </w:p>
    <w:p w14:paraId="07F7F306" w14:textId="77777777" w:rsidR="00256A7C" w:rsidRPr="005E1A73" w:rsidRDefault="00B12696"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Welchen Energieparameter verwendet man bei Photonenstrahlung? Wie wird dieser bestimmt und wie muss er bei unterschiedlichen Feldgrößen angewandt werden? (3 P.)</w:t>
      </w:r>
    </w:p>
    <w:p w14:paraId="4E32D7AA" w14:textId="77777777" w:rsidR="00256A7C" w:rsidRPr="005E1A73" w:rsidRDefault="00256A7C" w:rsidP="00256A7C">
      <w:pPr>
        <w:pStyle w:val="Listenabsatz"/>
        <w:rPr>
          <w:rFonts w:cstheme="minorHAnsi"/>
          <w:b/>
          <w:bCs/>
          <w:sz w:val="20"/>
          <w:szCs w:val="20"/>
        </w:rPr>
      </w:pPr>
    </w:p>
    <w:p w14:paraId="6D00EA1F"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Welche Bedeutung hat das Massenstoß-Bremsvermögensverhältnis Wasser zu Luft für die Dosimetrie mit luftgefüllten Ionisationskammern? Bräuchte man diese Größe auch bei einer wassergefüllten Ionisationskammer? Dieses Verhältnis wird sowohl bei der Dosimetrie von Photonenstrahlung als auch bei Elektronenstrahlung verwendet. Was ist der Unterschied hierbei bei den beiden Strahlungsarten? Beschreibe und begründe jeweils kurz.</w:t>
      </w:r>
    </w:p>
    <w:p w14:paraId="57228E10" w14:textId="77777777" w:rsidR="00256A7C" w:rsidRPr="005E1A73" w:rsidRDefault="00256A7C" w:rsidP="00256A7C">
      <w:pPr>
        <w:pStyle w:val="Listenabsatz"/>
        <w:rPr>
          <w:rFonts w:cstheme="minorHAnsi"/>
          <w:b/>
          <w:bCs/>
          <w:sz w:val="20"/>
          <w:szCs w:val="20"/>
        </w:rPr>
      </w:pPr>
    </w:p>
    <w:p w14:paraId="567D30CD"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Wie ändert sich die relative Tiefendosis in einem Wasserphantom bei Variation des Fokus-Oberflächen-Abstandes? Trifft dies für Photonen- und Elektronenstrahlung in vergleichbarere Weise zu? Falls nein, beschreibe die Unterschiede </w:t>
      </w:r>
    </w:p>
    <w:p w14:paraId="1BC5FC9F" w14:textId="77777777" w:rsidR="00256A7C" w:rsidRPr="005E1A73" w:rsidRDefault="00256A7C" w:rsidP="00256A7C">
      <w:pPr>
        <w:pStyle w:val="Listenabsatz"/>
        <w:rPr>
          <w:rFonts w:cstheme="minorHAnsi"/>
          <w:b/>
          <w:bCs/>
          <w:sz w:val="20"/>
          <w:szCs w:val="20"/>
        </w:rPr>
      </w:pPr>
    </w:p>
    <w:p w14:paraId="55F4E216"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Warum ist der Korrektionsfaktor für Sättigung nach DIN 6800-2 das Verhältnis aus der Sättigungskorrektion bei der Strahlungsqualität der Messung und der Kalibrierung (Co-60) und nicht ausschließlich die Sättigungskorrektion bei der Strahlungsqualität der Messung?</w:t>
      </w:r>
    </w:p>
    <w:p w14:paraId="223618F2" w14:textId="77777777" w:rsidR="00256A7C" w:rsidRPr="005E1A73" w:rsidRDefault="00256A7C" w:rsidP="00727688">
      <w:pPr>
        <w:rPr>
          <w:rFonts w:cstheme="minorHAnsi"/>
          <w:b/>
          <w:bCs/>
          <w:sz w:val="20"/>
          <w:szCs w:val="20"/>
        </w:rPr>
      </w:pPr>
    </w:p>
    <w:p w14:paraId="45AEE882"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Warum ist zur Bestimmung der Sättigungskorrektion an einem Linearbeschleuniger die Dosis pro Strahlpuls entscheidend und nicht die mittlere Dosisleistung? Welche Voraussetzung muss hierfür erfüllt sein? </w:t>
      </w:r>
    </w:p>
    <w:p w14:paraId="621A907A" w14:textId="77777777" w:rsidR="00256A7C" w:rsidRPr="005E1A73" w:rsidRDefault="00256A7C" w:rsidP="00256A7C">
      <w:pPr>
        <w:pStyle w:val="Listenabsatz"/>
        <w:rPr>
          <w:rFonts w:cstheme="minorHAnsi"/>
          <w:b/>
          <w:bCs/>
          <w:sz w:val="20"/>
          <w:szCs w:val="20"/>
        </w:rPr>
      </w:pPr>
    </w:p>
    <w:p w14:paraId="78E0C160"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 Acht Blutbeutel mit den Maßen 12x15x2cm (Gesamthöhe also 16cm aufeinandergelegt) müssen gleichzeitig mit einer Dosis von 30Gy am Linac bestahlt werden. Die Minimaldosis sollte 27 Gy nicht unterschreiten und die Maximaldosis nicht über 33Gy liegen. Wie würdest Du dies am Linearbeschleuniger realisieren und welche Messungen zur Dosimetrie müsstest du hierfür durchführen? </w:t>
      </w:r>
    </w:p>
    <w:p w14:paraId="783EAD07" w14:textId="77777777" w:rsidR="00256A7C" w:rsidRPr="005E1A73" w:rsidRDefault="00256A7C" w:rsidP="00256A7C">
      <w:pPr>
        <w:pStyle w:val="Listenabsatz"/>
        <w:rPr>
          <w:rFonts w:cstheme="minorHAnsi"/>
          <w:b/>
          <w:bCs/>
          <w:sz w:val="20"/>
          <w:szCs w:val="20"/>
        </w:rPr>
      </w:pPr>
    </w:p>
    <w:p w14:paraId="32D639A8"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Warum fällt bei gleicher Elektronenenergie der Tiefendosisverlauf eines sehr kleinen Feldes sehr viel schneller als derjenige eines größeren Feldes? Wie verhält sich dieser Effekt bei kleiner und hoher Elektronenenergie? </w:t>
      </w:r>
    </w:p>
    <w:p w14:paraId="5F6EB413" w14:textId="77777777" w:rsidR="00256A7C" w:rsidRPr="005E1A73" w:rsidRDefault="00256A7C" w:rsidP="00256A7C">
      <w:pPr>
        <w:pStyle w:val="Listenabsatz"/>
        <w:rPr>
          <w:rFonts w:cstheme="minorHAnsi"/>
          <w:b/>
          <w:bCs/>
          <w:sz w:val="20"/>
          <w:szCs w:val="20"/>
        </w:rPr>
      </w:pPr>
    </w:p>
    <w:p w14:paraId="17C4569E"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Welche Korrektionsfaktoren nach DIN 6800-2 können bei Relativmessungen von Photonen- oder Elektronenstrahlung außer Acht gelassen werden? </w:t>
      </w:r>
    </w:p>
    <w:p w14:paraId="623BB20E" w14:textId="77777777" w:rsidR="00256A7C" w:rsidRPr="005E1A73" w:rsidRDefault="00256A7C" w:rsidP="00256A7C">
      <w:pPr>
        <w:pStyle w:val="Listenabsatz"/>
        <w:rPr>
          <w:rFonts w:cstheme="minorHAnsi"/>
          <w:b/>
          <w:bCs/>
          <w:sz w:val="20"/>
          <w:szCs w:val="20"/>
        </w:rPr>
      </w:pPr>
    </w:p>
    <w:p w14:paraId="4AF0922E"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Was versteht man unter Delta-Elektronen und welche Bedeutung haben diese in der Dosimetrie? Was ist die allgemein übliche Schwellenenergie für Delta-Elektronen?</w:t>
      </w:r>
    </w:p>
    <w:p w14:paraId="0A24C3E8" w14:textId="77777777" w:rsidR="00256A7C" w:rsidRPr="005E1A73" w:rsidRDefault="00256A7C" w:rsidP="00256A7C">
      <w:pPr>
        <w:pStyle w:val="Listenabsatz"/>
        <w:rPr>
          <w:rFonts w:cstheme="minorHAnsi"/>
          <w:b/>
          <w:bCs/>
          <w:color w:val="000000"/>
          <w:sz w:val="20"/>
          <w:szCs w:val="20"/>
        </w:rPr>
      </w:pPr>
    </w:p>
    <w:p w14:paraId="3DE935A3"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color w:val="000000"/>
          <w:sz w:val="20"/>
          <w:szCs w:val="20"/>
        </w:rPr>
        <w:t xml:space="preserve">Was ist der Unterschied zwischen Messort und effektivem Messpunkt </w:t>
      </w:r>
    </w:p>
    <w:p w14:paraId="36BB740D" w14:textId="77777777" w:rsidR="00256A7C" w:rsidRPr="005E1A73" w:rsidRDefault="00256A7C" w:rsidP="00256A7C">
      <w:pPr>
        <w:pStyle w:val="Listenabsatz"/>
        <w:rPr>
          <w:rFonts w:cstheme="minorHAnsi"/>
          <w:b/>
          <w:bCs/>
          <w:sz w:val="20"/>
          <w:szCs w:val="20"/>
        </w:rPr>
      </w:pPr>
    </w:p>
    <w:p w14:paraId="2AC17936" w14:textId="77777777"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Was ist der Unterschied zwischen dem Planungszielvolumen (PTV) und dem klinischen Zielvolumen (CTV) </w:t>
      </w:r>
    </w:p>
    <w:p w14:paraId="7BFD18FB" w14:textId="77777777" w:rsidR="00256A7C" w:rsidRPr="005E1A73" w:rsidRDefault="00256A7C" w:rsidP="00256A7C">
      <w:pPr>
        <w:pStyle w:val="Listenabsatz"/>
        <w:rPr>
          <w:rFonts w:cstheme="minorHAnsi"/>
          <w:b/>
          <w:bCs/>
          <w:sz w:val="20"/>
          <w:szCs w:val="20"/>
        </w:rPr>
      </w:pPr>
    </w:p>
    <w:p w14:paraId="6C0F9CA1" w14:textId="158EF276" w:rsidR="00256A7C" w:rsidRPr="005E1A73" w:rsidRDefault="00256A7C" w:rsidP="00256A7C">
      <w:pPr>
        <w:numPr>
          <w:ilvl w:val="0"/>
          <w:numId w:val="4"/>
        </w:numPr>
        <w:pBdr>
          <w:top w:val="nil"/>
          <w:left w:val="nil"/>
          <w:bottom w:val="nil"/>
          <w:right w:val="nil"/>
          <w:between w:val="nil"/>
        </w:pBdr>
        <w:spacing w:line="360" w:lineRule="auto"/>
        <w:rPr>
          <w:rFonts w:cstheme="minorHAnsi"/>
          <w:b/>
          <w:bCs/>
          <w:sz w:val="20"/>
          <w:szCs w:val="20"/>
        </w:rPr>
      </w:pPr>
      <w:r w:rsidRPr="005E1A73">
        <w:rPr>
          <w:rFonts w:cstheme="minorHAnsi"/>
          <w:b/>
          <w:bCs/>
          <w:sz w:val="20"/>
          <w:szCs w:val="20"/>
        </w:rPr>
        <w:t xml:space="preserve">Ein Patient wird in Rückenlage mit einem Stehfeld (6MV Photonen) seitlich bestrahlt. Der Durchmesser betrage 30cm und der Dosierungspunkt liegt in der Mitte, also in 15cm Tiefe. Die Dosis im Dosierungspunkt beträgt 2Gy. </w:t>
      </w:r>
    </w:p>
    <w:p w14:paraId="2DF8B0F8" w14:textId="77777777" w:rsidR="00256A7C" w:rsidRPr="005E1A73" w:rsidRDefault="00256A7C" w:rsidP="00256A7C">
      <w:pPr>
        <w:pStyle w:val="Default"/>
        <w:numPr>
          <w:ilvl w:val="0"/>
          <w:numId w:val="15"/>
        </w:numPr>
        <w:rPr>
          <w:rFonts w:asciiTheme="minorHAnsi" w:hAnsiTheme="minorHAnsi" w:cstheme="minorHAnsi"/>
          <w:b/>
          <w:bCs/>
          <w:sz w:val="20"/>
          <w:szCs w:val="20"/>
        </w:rPr>
      </w:pPr>
      <w:r w:rsidRPr="005E1A73">
        <w:rPr>
          <w:rFonts w:asciiTheme="minorHAnsi" w:hAnsiTheme="minorHAnsi" w:cstheme="minorHAnsi"/>
          <w:b/>
          <w:bCs/>
          <w:sz w:val="20"/>
          <w:szCs w:val="20"/>
        </w:rPr>
        <w:t xml:space="preserve">Wie hoch ist zum einen in etwa die Maximaldosis und wie hoch die Austrittsdosis? </w:t>
      </w:r>
    </w:p>
    <w:p w14:paraId="38A9E3E6" w14:textId="77777777" w:rsidR="00256A7C" w:rsidRPr="005E1A73" w:rsidRDefault="00256A7C" w:rsidP="00256A7C">
      <w:pPr>
        <w:pStyle w:val="Default"/>
        <w:rPr>
          <w:rFonts w:asciiTheme="minorHAnsi" w:hAnsiTheme="minorHAnsi" w:cstheme="minorHAnsi"/>
          <w:b/>
          <w:bCs/>
          <w:sz w:val="20"/>
          <w:szCs w:val="20"/>
        </w:rPr>
      </w:pPr>
    </w:p>
    <w:p w14:paraId="718D6377" w14:textId="77777777" w:rsidR="00256A7C" w:rsidRPr="005E1A73" w:rsidRDefault="00256A7C" w:rsidP="00256A7C">
      <w:pPr>
        <w:pStyle w:val="Default"/>
        <w:ind w:left="708"/>
        <w:rPr>
          <w:rFonts w:asciiTheme="minorHAnsi" w:hAnsiTheme="minorHAnsi" w:cstheme="minorHAnsi"/>
          <w:b/>
          <w:bCs/>
          <w:sz w:val="20"/>
          <w:szCs w:val="20"/>
        </w:rPr>
      </w:pPr>
    </w:p>
    <w:p w14:paraId="582DBCFF" w14:textId="77777777" w:rsidR="00256A7C" w:rsidRPr="005E1A73" w:rsidRDefault="00256A7C" w:rsidP="00256A7C">
      <w:pPr>
        <w:pStyle w:val="Default"/>
        <w:numPr>
          <w:ilvl w:val="0"/>
          <w:numId w:val="15"/>
        </w:numPr>
        <w:rPr>
          <w:rFonts w:asciiTheme="minorHAnsi" w:hAnsiTheme="minorHAnsi" w:cstheme="minorHAnsi"/>
          <w:b/>
          <w:bCs/>
          <w:sz w:val="20"/>
          <w:szCs w:val="20"/>
        </w:rPr>
      </w:pPr>
      <w:r w:rsidRPr="005E1A73">
        <w:rPr>
          <w:rFonts w:asciiTheme="minorHAnsi" w:hAnsiTheme="minorHAnsi" w:cstheme="minorHAnsi"/>
          <w:b/>
          <w:bCs/>
          <w:sz w:val="20"/>
          <w:szCs w:val="20"/>
        </w:rPr>
        <w:t xml:space="preserve">Warum ist die Austrittsdosis etwas niedriger im Vergleich zur Messung im Wasserphantom, in dem der Tiefendosisverlauf bis 40cm Tiefe gemessen wurde? </w:t>
      </w:r>
    </w:p>
    <w:p w14:paraId="6DB86AB6" w14:textId="77777777" w:rsidR="00256A7C" w:rsidRPr="005E1A73" w:rsidRDefault="00256A7C" w:rsidP="00256A7C">
      <w:pPr>
        <w:pStyle w:val="Default"/>
        <w:rPr>
          <w:rFonts w:asciiTheme="minorHAnsi" w:hAnsiTheme="minorHAnsi" w:cstheme="minorHAnsi"/>
          <w:b/>
          <w:bCs/>
          <w:sz w:val="20"/>
          <w:szCs w:val="20"/>
        </w:rPr>
      </w:pPr>
    </w:p>
    <w:p w14:paraId="5123D1E3" w14:textId="77777777" w:rsidR="00256A7C" w:rsidRPr="005E1A73" w:rsidRDefault="00256A7C" w:rsidP="00256A7C">
      <w:pPr>
        <w:numPr>
          <w:ilvl w:val="0"/>
          <w:numId w:val="14"/>
        </w:numPr>
        <w:autoSpaceDE w:val="0"/>
        <w:autoSpaceDN w:val="0"/>
        <w:adjustRightInd w:val="0"/>
        <w:spacing w:after="0" w:line="240" w:lineRule="auto"/>
        <w:rPr>
          <w:rFonts w:cstheme="minorHAnsi"/>
          <w:b/>
          <w:bCs/>
          <w:color w:val="000000"/>
          <w:sz w:val="20"/>
          <w:szCs w:val="20"/>
        </w:rPr>
      </w:pPr>
    </w:p>
    <w:p w14:paraId="69BE0C6A" w14:textId="78465BAE" w:rsidR="00256A7C" w:rsidRPr="005E1A73" w:rsidRDefault="00256A7C" w:rsidP="00256A7C">
      <w:pPr>
        <w:pStyle w:val="Default"/>
        <w:numPr>
          <w:ilvl w:val="0"/>
          <w:numId w:val="15"/>
        </w:numPr>
        <w:rPr>
          <w:rFonts w:asciiTheme="minorHAnsi" w:hAnsiTheme="minorHAnsi" w:cstheme="minorHAnsi"/>
          <w:b/>
          <w:bCs/>
          <w:sz w:val="20"/>
          <w:szCs w:val="20"/>
        </w:rPr>
      </w:pPr>
      <w:r w:rsidRPr="005E1A73">
        <w:rPr>
          <w:rFonts w:asciiTheme="minorHAnsi" w:hAnsiTheme="minorHAnsi" w:cstheme="minorHAnsi"/>
          <w:b/>
          <w:bCs/>
          <w:sz w:val="20"/>
          <w:szCs w:val="20"/>
        </w:rPr>
        <w:t xml:space="preserve">Wie verändern sich die Maximaldosis und die Austrittsdosis, wenn der Patient mit der gleichen Dosis, aber mit vergrößertem Fokus-Haut-Abstand bestrahlt wird (nur die Richtung, keine konkreten Zahlenwerte)? </w:t>
      </w:r>
    </w:p>
    <w:p w14:paraId="3E381D65" w14:textId="77777777" w:rsidR="00727688" w:rsidRPr="005E1A73" w:rsidRDefault="00727688" w:rsidP="00727688">
      <w:pPr>
        <w:pStyle w:val="Default"/>
        <w:ind w:left="720"/>
        <w:rPr>
          <w:rFonts w:asciiTheme="minorHAnsi" w:hAnsiTheme="minorHAnsi" w:cstheme="minorHAnsi"/>
          <w:b/>
          <w:bCs/>
          <w:sz w:val="20"/>
          <w:szCs w:val="20"/>
        </w:rPr>
      </w:pPr>
    </w:p>
    <w:p w14:paraId="6C1D7DD2" w14:textId="77777777" w:rsidR="00256A7C" w:rsidRPr="005E1A73" w:rsidRDefault="00256A7C" w:rsidP="00256A7C">
      <w:pPr>
        <w:pStyle w:val="Default"/>
        <w:numPr>
          <w:ilvl w:val="0"/>
          <w:numId w:val="4"/>
        </w:numPr>
        <w:rPr>
          <w:rFonts w:asciiTheme="minorHAnsi" w:hAnsiTheme="minorHAnsi" w:cstheme="minorHAnsi"/>
          <w:b/>
          <w:bCs/>
          <w:sz w:val="20"/>
          <w:szCs w:val="20"/>
        </w:rPr>
      </w:pPr>
      <w:r w:rsidRPr="005E1A73">
        <w:rPr>
          <w:rFonts w:asciiTheme="minorHAnsi" w:hAnsiTheme="minorHAnsi" w:cstheme="minorHAnsi"/>
          <w:b/>
          <w:bCs/>
          <w:sz w:val="20"/>
          <w:szCs w:val="20"/>
        </w:rPr>
        <w:t xml:space="preserve">Ein Patient wird zum einen mit einem Elektronenstehfeld der Energie 4MeV und zum anderen der Energie 15MeV bestrahlt, jeweils im Dosismaximum mit 2 Gy. Wie hoch ist in beiden Fällen in etwa die Dosis in diesen Tiefen (Dmax, R50, 4cm, 8cm)? </w:t>
      </w:r>
    </w:p>
    <w:p w14:paraId="661F6BFA" w14:textId="77777777" w:rsidR="00256A7C" w:rsidRPr="005E1A73" w:rsidRDefault="00256A7C" w:rsidP="00727688">
      <w:pPr>
        <w:rPr>
          <w:rFonts w:cstheme="minorHAnsi"/>
          <w:b/>
          <w:bCs/>
          <w:sz w:val="20"/>
          <w:szCs w:val="20"/>
        </w:rPr>
      </w:pPr>
    </w:p>
    <w:p w14:paraId="274CC3C2" w14:textId="77777777" w:rsidR="00727688" w:rsidRPr="005E1A73" w:rsidRDefault="00256A7C" w:rsidP="00727688">
      <w:pPr>
        <w:pStyle w:val="Default"/>
        <w:numPr>
          <w:ilvl w:val="0"/>
          <w:numId w:val="4"/>
        </w:numPr>
        <w:rPr>
          <w:rFonts w:asciiTheme="minorHAnsi" w:hAnsiTheme="minorHAnsi" w:cstheme="minorHAnsi"/>
          <w:b/>
          <w:bCs/>
          <w:sz w:val="20"/>
          <w:szCs w:val="20"/>
        </w:rPr>
      </w:pPr>
      <w:r w:rsidRPr="005E1A73">
        <w:rPr>
          <w:rFonts w:asciiTheme="minorHAnsi" w:hAnsiTheme="minorHAnsi" w:cstheme="minorHAnsi"/>
          <w:b/>
          <w:bCs/>
          <w:sz w:val="20"/>
          <w:szCs w:val="20"/>
        </w:rPr>
        <w:t xml:space="preserve">Welche Bedeutung haben die folgenden Begriffe: Äquivalentdosis, Messgrößen und Schutzgrößen nach DIN 6814-3 mit dem Titel: Begriffe in der radiologischen Technik, Teil 3 Dosimetrie? </w:t>
      </w:r>
    </w:p>
    <w:p w14:paraId="46FEAF29" w14:textId="77777777" w:rsidR="00727688" w:rsidRPr="005E1A73" w:rsidRDefault="00727688" w:rsidP="00727688">
      <w:pPr>
        <w:pStyle w:val="Listenabsatz"/>
        <w:rPr>
          <w:rFonts w:cstheme="minorHAnsi"/>
          <w:b/>
          <w:bCs/>
          <w:sz w:val="20"/>
          <w:szCs w:val="20"/>
        </w:rPr>
      </w:pPr>
    </w:p>
    <w:p w14:paraId="0CD5BD4D" w14:textId="77777777" w:rsidR="00727688" w:rsidRPr="005E1A73" w:rsidRDefault="00256A7C" w:rsidP="00727688">
      <w:pPr>
        <w:pStyle w:val="Default"/>
        <w:numPr>
          <w:ilvl w:val="0"/>
          <w:numId w:val="4"/>
        </w:numPr>
        <w:rPr>
          <w:rFonts w:asciiTheme="minorHAnsi" w:hAnsiTheme="minorHAnsi" w:cstheme="minorHAnsi"/>
          <w:b/>
          <w:bCs/>
          <w:sz w:val="20"/>
          <w:szCs w:val="20"/>
        </w:rPr>
      </w:pPr>
      <w:r w:rsidRPr="005E1A73">
        <w:rPr>
          <w:rFonts w:asciiTheme="minorHAnsi" w:hAnsiTheme="minorHAnsi" w:cstheme="minorHAnsi"/>
          <w:b/>
          <w:bCs/>
          <w:sz w:val="20"/>
          <w:szCs w:val="20"/>
        </w:rPr>
        <w:t>Skizziere in einer Grafik das Bremsvermögen dE/dx von Elektronen in Abhängigkeit von der Elektronenenergie bis zu Energien von ca. 20 MeV (nur relativer Verlauf)</w:t>
      </w:r>
    </w:p>
    <w:p w14:paraId="7ECBF581" w14:textId="77777777" w:rsidR="00727688" w:rsidRPr="005E1A73" w:rsidRDefault="00727688" w:rsidP="00727688">
      <w:pPr>
        <w:pStyle w:val="Listenabsatz"/>
        <w:rPr>
          <w:rFonts w:cstheme="minorHAnsi"/>
          <w:b/>
          <w:bCs/>
          <w:sz w:val="20"/>
          <w:szCs w:val="20"/>
        </w:rPr>
      </w:pPr>
    </w:p>
    <w:p w14:paraId="52996682" w14:textId="77777777" w:rsidR="00727688" w:rsidRPr="005E1A73" w:rsidRDefault="00256A7C" w:rsidP="00727688">
      <w:pPr>
        <w:pStyle w:val="Default"/>
        <w:numPr>
          <w:ilvl w:val="0"/>
          <w:numId w:val="4"/>
        </w:numPr>
        <w:rPr>
          <w:rFonts w:asciiTheme="minorHAnsi" w:hAnsiTheme="minorHAnsi" w:cstheme="minorHAnsi"/>
          <w:b/>
          <w:bCs/>
          <w:sz w:val="20"/>
          <w:szCs w:val="20"/>
        </w:rPr>
      </w:pPr>
      <w:r w:rsidRPr="005E1A73">
        <w:rPr>
          <w:rFonts w:asciiTheme="minorHAnsi" w:hAnsiTheme="minorHAnsi" w:cstheme="minorHAnsi"/>
          <w:b/>
          <w:bCs/>
          <w:sz w:val="20"/>
          <w:szCs w:val="20"/>
        </w:rPr>
        <w:t xml:space="preserve">Mit welchen Größen wird die Wandstärke eines nicht wasseräquivalenten Materials in eine wasseräquivalente Schichtdicke umgerechnet? Gilt das in gleicher Weise für Photonen- und Elektronenstrahlung und falls ja, unter welcher Voraussetzung? </w:t>
      </w:r>
    </w:p>
    <w:p w14:paraId="61FE58CC" w14:textId="77777777" w:rsidR="00727688" w:rsidRPr="005E1A73" w:rsidRDefault="00727688" w:rsidP="00727688">
      <w:pPr>
        <w:pStyle w:val="Listenabsatz"/>
        <w:rPr>
          <w:rFonts w:cstheme="minorHAnsi"/>
          <w:b/>
          <w:bCs/>
          <w:sz w:val="20"/>
          <w:szCs w:val="20"/>
        </w:rPr>
      </w:pPr>
    </w:p>
    <w:p w14:paraId="75A94899" w14:textId="6987A8CF" w:rsidR="00727688" w:rsidRPr="005E1A73" w:rsidRDefault="00256A7C" w:rsidP="00727688">
      <w:pPr>
        <w:pStyle w:val="Default"/>
        <w:numPr>
          <w:ilvl w:val="0"/>
          <w:numId w:val="4"/>
        </w:numPr>
        <w:rPr>
          <w:rFonts w:asciiTheme="minorHAnsi" w:eastAsiaTheme="minorEastAsia" w:hAnsiTheme="minorHAnsi" w:cstheme="minorHAnsi"/>
          <w:b/>
          <w:bCs/>
          <w:sz w:val="20"/>
          <w:szCs w:val="20"/>
        </w:rPr>
      </w:pPr>
      <w:r w:rsidRPr="005E1A73">
        <w:rPr>
          <w:rFonts w:asciiTheme="minorHAnsi" w:hAnsiTheme="minorHAnsi" w:cstheme="minorHAnsi"/>
          <w:b/>
          <w:bCs/>
          <w:sz w:val="20"/>
          <w:szCs w:val="20"/>
        </w:rPr>
        <w:t xml:space="preserve">Warum geht in die Berechnung des Korrektionsfaktor kR zur Berücksichtigung der unterschiedlichen Positionierung von Ionisationskammern bei der Kalibrierung und der Messung der relative Gradient der Co-60 Tiefendosiskurve und die Messortverschiebung bei Co-60 ein und nicht die entsprechenden Größen bei der Messung? Denke zur Beantwortung dieser Frage an die Bezugsbedingung bezüglich der Positionierung bei der Kalibrierung. </w:t>
      </w:r>
      <m:oMath>
        <m:sSub>
          <m:sSubPr>
            <m:ctrlPr>
              <w:rPr>
                <w:rFonts w:ascii="Cambria Math" w:hAnsi="Cambria Math" w:cstheme="minorHAnsi"/>
                <w:b/>
                <w:bCs/>
                <w:i/>
                <w:sz w:val="20"/>
                <w:szCs w:val="20"/>
              </w:rPr>
            </m:ctrlPr>
          </m:sSubPr>
          <m:e>
            <m:r>
              <m:rPr>
                <m:sty m:val="bi"/>
              </m:rPr>
              <w:rPr>
                <w:rFonts w:ascii="Cambria Math" w:hAnsi="Cambria Math" w:cstheme="minorHAnsi"/>
                <w:sz w:val="20"/>
                <w:szCs w:val="20"/>
              </w:rPr>
              <m:t>k</m:t>
            </m:r>
          </m:e>
          <m:sub>
            <m:r>
              <m:rPr>
                <m:sty m:val="bi"/>
              </m:rPr>
              <w:rPr>
                <w:rFonts w:ascii="Cambria Math" w:hAnsi="Cambria Math" w:cstheme="minorHAnsi"/>
                <w:sz w:val="20"/>
                <w:szCs w:val="20"/>
              </w:rPr>
              <m:t>r</m:t>
            </m:r>
          </m:sub>
        </m:sSub>
        <m:r>
          <m:rPr>
            <m:sty m:val="bi"/>
          </m:rPr>
          <w:rPr>
            <w:rFonts w:ascii="Cambria Math" w:hAnsi="Cambria Math" w:cstheme="minorHAnsi"/>
            <w:sz w:val="20"/>
            <w:szCs w:val="20"/>
          </w:rPr>
          <m:t>=</m:t>
        </m:r>
        <m:f>
          <m:fPr>
            <m:ctrlPr>
              <w:rPr>
                <w:rFonts w:ascii="Cambria Math" w:hAnsi="Cambria Math" w:cstheme="minorHAnsi"/>
                <w:b/>
                <w:bCs/>
                <w:i/>
                <w:sz w:val="20"/>
                <w:szCs w:val="20"/>
              </w:rPr>
            </m:ctrlPr>
          </m:fPr>
          <m:num>
            <m:r>
              <m:rPr>
                <m:sty m:val="bi"/>
              </m:rPr>
              <w:rPr>
                <w:rFonts w:ascii="Cambria Math" w:hAnsi="Cambria Math" w:cstheme="minorHAnsi"/>
                <w:sz w:val="20"/>
                <w:szCs w:val="20"/>
              </w:rPr>
              <m:t>1</m:t>
            </m:r>
          </m:num>
          <m:den>
            <m:r>
              <m:rPr>
                <m:sty m:val="bi"/>
              </m:rPr>
              <w:rPr>
                <w:rFonts w:ascii="Cambria Math" w:hAnsi="Cambria Math" w:cstheme="minorHAnsi"/>
                <w:sz w:val="20"/>
                <w:szCs w:val="20"/>
              </w:rPr>
              <m:t>1+</m:t>
            </m:r>
            <m:sSub>
              <m:sSubPr>
                <m:ctrlPr>
                  <w:rPr>
                    <w:rFonts w:ascii="Cambria Math" w:hAnsi="Cambria Math" w:cstheme="minorHAnsi"/>
                    <w:b/>
                    <w:bCs/>
                    <w:i/>
                    <w:sz w:val="20"/>
                    <w:szCs w:val="20"/>
                  </w:rPr>
                </m:ctrlPr>
              </m:sSubPr>
              <m:e>
                <m:r>
                  <m:rPr>
                    <m:sty m:val="bi"/>
                  </m:rPr>
                  <w:rPr>
                    <w:rFonts w:ascii="Cambria Math" w:hAnsi="Cambria Math" w:cstheme="minorHAnsi"/>
                    <w:sz w:val="20"/>
                    <w:szCs w:val="20"/>
                  </w:rPr>
                  <m:t>δ</m:t>
                </m:r>
              </m:e>
              <m:sub>
                <m:r>
                  <m:rPr>
                    <m:sty m:val="bi"/>
                  </m:rPr>
                  <w:rPr>
                    <w:rFonts w:ascii="Cambria Math" w:hAnsi="Cambria Math" w:cstheme="minorHAnsi"/>
                    <w:sz w:val="20"/>
                    <w:szCs w:val="20"/>
                  </w:rPr>
                  <m:t>co</m:t>
                </m:r>
              </m:sub>
            </m:sSub>
            <m:r>
              <m:rPr>
                <m:sty m:val="bi"/>
              </m:rPr>
              <w:rPr>
                <w:rFonts w:ascii="Cambria Math" w:hAnsi="Cambria Math" w:cstheme="minorHAnsi"/>
                <w:sz w:val="20"/>
                <w:szCs w:val="20"/>
              </w:rPr>
              <m:t>*</m:t>
            </m:r>
            <m:r>
              <m:rPr>
                <m:sty m:val="b"/>
              </m:rPr>
              <w:rPr>
                <w:rFonts w:ascii="Cambria Math" w:hAnsi="Cambria Math" w:cstheme="minorHAnsi"/>
                <w:sz w:val="20"/>
                <w:szCs w:val="20"/>
              </w:rPr>
              <m:t>Δ</m:t>
            </m:r>
            <m:sSub>
              <m:sSubPr>
                <m:ctrlPr>
                  <w:rPr>
                    <w:rFonts w:ascii="Cambria Math" w:hAnsi="Cambria Math" w:cstheme="minorHAnsi"/>
                    <w:b/>
                    <w:bCs/>
                    <w:i/>
                    <w:sz w:val="20"/>
                    <w:szCs w:val="20"/>
                  </w:rPr>
                </m:ctrlPr>
              </m:sSubPr>
              <m:e>
                <m:r>
                  <m:rPr>
                    <m:sty m:val="bi"/>
                  </m:rPr>
                  <w:rPr>
                    <w:rFonts w:ascii="Cambria Math" w:hAnsi="Cambria Math" w:cstheme="minorHAnsi"/>
                    <w:sz w:val="20"/>
                    <w:szCs w:val="20"/>
                  </w:rPr>
                  <m:t>z</m:t>
                </m:r>
              </m:e>
              <m:sub>
                <m:r>
                  <m:rPr>
                    <m:sty m:val="bi"/>
                  </m:rPr>
                  <w:rPr>
                    <w:rFonts w:ascii="Cambria Math" w:hAnsi="Cambria Math" w:cstheme="minorHAnsi"/>
                    <w:sz w:val="20"/>
                    <w:szCs w:val="20"/>
                  </w:rPr>
                  <m:t>co</m:t>
                </m:r>
              </m:sub>
            </m:sSub>
          </m:den>
        </m:f>
      </m:oMath>
    </w:p>
    <w:p w14:paraId="7A530E10" w14:textId="77777777" w:rsidR="00727688" w:rsidRPr="005E1A73" w:rsidRDefault="00727688" w:rsidP="00727688">
      <w:pPr>
        <w:pStyle w:val="Listenabsatz"/>
        <w:rPr>
          <w:rFonts w:eastAsiaTheme="minorEastAsia" w:cstheme="minorHAnsi"/>
          <w:b/>
          <w:bCs/>
          <w:sz w:val="20"/>
          <w:szCs w:val="20"/>
        </w:rPr>
      </w:pPr>
    </w:p>
    <w:p w14:paraId="2E435D2A" w14:textId="77777777" w:rsidR="00727688" w:rsidRPr="005E1A73" w:rsidRDefault="00727688" w:rsidP="00727688">
      <w:pPr>
        <w:pStyle w:val="Listenabsatz"/>
        <w:rPr>
          <w:rFonts w:eastAsiaTheme="minorEastAsia" w:cstheme="minorHAnsi"/>
          <w:b/>
          <w:bCs/>
          <w:sz w:val="20"/>
          <w:szCs w:val="20"/>
        </w:rPr>
      </w:pPr>
    </w:p>
    <w:p w14:paraId="0B6558BD" w14:textId="77777777" w:rsidR="00727688" w:rsidRPr="005E1A73" w:rsidRDefault="00256A7C" w:rsidP="00727688">
      <w:pPr>
        <w:pStyle w:val="Default"/>
        <w:numPr>
          <w:ilvl w:val="0"/>
          <w:numId w:val="4"/>
        </w:numPr>
        <w:rPr>
          <w:rFonts w:asciiTheme="minorHAnsi" w:eastAsiaTheme="minorEastAsia" w:hAnsiTheme="minorHAnsi" w:cstheme="minorHAnsi"/>
          <w:b/>
          <w:bCs/>
          <w:sz w:val="20"/>
          <w:szCs w:val="20"/>
        </w:rPr>
      </w:pPr>
      <w:r w:rsidRPr="005E1A73">
        <w:rPr>
          <w:rFonts w:asciiTheme="minorHAnsi" w:eastAsiaTheme="minorEastAsia" w:hAnsiTheme="minorHAnsi" w:cstheme="minorHAnsi"/>
          <w:b/>
          <w:bCs/>
          <w:sz w:val="20"/>
          <w:szCs w:val="20"/>
        </w:rPr>
        <w:t>Wenn man Elektronenstrahlung möglichst effektiv abschirmen möchte, wie muss die Abschirmung positioniert werden und wie sollte sie aufgebaut sein, wenn nur wenig Raum zu Verfügung steht?</w:t>
      </w:r>
    </w:p>
    <w:p w14:paraId="0C316DFA" w14:textId="77777777" w:rsidR="00727688" w:rsidRPr="005E1A73" w:rsidRDefault="00727688" w:rsidP="00727688">
      <w:pPr>
        <w:rPr>
          <w:rFonts w:eastAsiaTheme="minorEastAsia" w:cstheme="minorHAnsi"/>
          <w:b/>
          <w:bCs/>
          <w:sz w:val="20"/>
          <w:szCs w:val="20"/>
        </w:rPr>
      </w:pPr>
    </w:p>
    <w:p w14:paraId="650D7D46" w14:textId="77777777" w:rsidR="00727688" w:rsidRPr="005E1A73" w:rsidRDefault="00256A7C" w:rsidP="00727688">
      <w:pPr>
        <w:pStyle w:val="Default"/>
        <w:numPr>
          <w:ilvl w:val="0"/>
          <w:numId w:val="4"/>
        </w:numPr>
        <w:rPr>
          <w:rFonts w:asciiTheme="minorHAnsi" w:eastAsiaTheme="minorEastAsia" w:hAnsiTheme="minorHAnsi" w:cstheme="minorHAnsi"/>
          <w:b/>
          <w:bCs/>
          <w:sz w:val="20"/>
          <w:szCs w:val="20"/>
        </w:rPr>
      </w:pPr>
      <w:r w:rsidRPr="005E1A73">
        <w:rPr>
          <w:rFonts w:asciiTheme="minorHAnsi" w:eastAsiaTheme="minorEastAsia" w:hAnsiTheme="minorHAnsi" w:cstheme="minorHAnsi"/>
          <w:b/>
          <w:bCs/>
          <w:sz w:val="20"/>
          <w:szCs w:val="20"/>
        </w:rPr>
        <w:t>Warum wird im baulichen Strahlenschutz ein IMRT-Faktor verwendet, auch wenn die am Patienten applizierte Dosis dieselbe ist wie bei konventionellen Bestrahlungstechniken?</w:t>
      </w:r>
    </w:p>
    <w:p w14:paraId="518BE3C9" w14:textId="77777777" w:rsidR="00727688" w:rsidRPr="005E1A73" w:rsidRDefault="00727688" w:rsidP="00727688">
      <w:pPr>
        <w:pStyle w:val="Listenabsatz"/>
        <w:rPr>
          <w:rFonts w:eastAsiaTheme="minorEastAsia" w:cstheme="minorHAnsi"/>
          <w:b/>
          <w:bCs/>
          <w:sz w:val="20"/>
          <w:szCs w:val="20"/>
        </w:rPr>
      </w:pPr>
    </w:p>
    <w:p w14:paraId="40087766" w14:textId="77777777" w:rsidR="00727688" w:rsidRPr="005E1A73" w:rsidRDefault="00256A7C" w:rsidP="00727688">
      <w:pPr>
        <w:pStyle w:val="Default"/>
        <w:numPr>
          <w:ilvl w:val="0"/>
          <w:numId w:val="4"/>
        </w:numPr>
        <w:rPr>
          <w:rFonts w:asciiTheme="minorHAnsi" w:eastAsiaTheme="minorEastAsia" w:hAnsiTheme="minorHAnsi" w:cstheme="minorHAnsi"/>
          <w:b/>
          <w:bCs/>
          <w:sz w:val="20"/>
          <w:szCs w:val="20"/>
        </w:rPr>
      </w:pPr>
      <w:r w:rsidRPr="005E1A73">
        <w:rPr>
          <w:rFonts w:asciiTheme="minorHAnsi" w:eastAsiaTheme="minorEastAsia" w:hAnsiTheme="minorHAnsi" w:cstheme="minorHAnsi"/>
          <w:b/>
          <w:bCs/>
          <w:sz w:val="20"/>
          <w:szCs w:val="20"/>
        </w:rPr>
        <w:t>Warum ist der Korrektionsfaktor für Polarität nach DIN 6800-2 das Verhältnis aus den Polaritätskorrektionen bei der Strahlungsqualität der Messung und der Kalibrierung und nicht ausschließlich die Polaritätskorrektion bei der Strahlungsqualität der Messung?</w:t>
      </w:r>
    </w:p>
    <w:p w14:paraId="1FD948D7" w14:textId="77777777" w:rsidR="00727688" w:rsidRDefault="00727688" w:rsidP="00727688">
      <w:pPr>
        <w:pStyle w:val="Listenabsatz"/>
        <w:rPr>
          <w:rFonts w:eastAsiaTheme="minorEastAsia"/>
        </w:rPr>
      </w:pPr>
    </w:p>
    <w:p w14:paraId="7764F2F6" w14:textId="77777777" w:rsidR="00256A7C" w:rsidRDefault="00256A7C" w:rsidP="00256A7C">
      <w:pPr>
        <w:autoSpaceDE w:val="0"/>
        <w:autoSpaceDN w:val="0"/>
        <w:adjustRightInd w:val="0"/>
        <w:spacing w:after="0" w:line="240" w:lineRule="auto"/>
        <w:rPr>
          <w:rFonts w:ascii="Calibri" w:eastAsiaTheme="minorEastAsia" w:hAnsi="Calibri" w:cs="Calibri"/>
          <w:b/>
          <w:bCs/>
          <w:color w:val="000000"/>
        </w:rPr>
      </w:pPr>
    </w:p>
    <w:p w14:paraId="6388960C" w14:textId="77777777" w:rsidR="00256A7C" w:rsidRPr="00B3489C" w:rsidRDefault="00256A7C" w:rsidP="00256A7C">
      <w:pPr>
        <w:autoSpaceDE w:val="0"/>
        <w:autoSpaceDN w:val="0"/>
        <w:adjustRightInd w:val="0"/>
        <w:spacing w:after="0" w:line="240" w:lineRule="auto"/>
        <w:rPr>
          <w:rFonts w:ascii="Calibri" w:eastAsiaTheme="minorEastAsia" w:hAnsi="Calibri" w:cs="Calibri"/>
          <w:color w:val="000000"/>
        </w:rPr>
      </w:pPr>
    </w:p>
    <w:p w14:paraId="09F126D3" w14:textId="77777777" w:rsidR="00256A7C" w:rsidRPr="00B3489C" w:rsidRDefault="00256A7C" w:rsidP="00256A7C">
      <w:pPr>
        <w:numPr>
          <w:ilvl w:val="0"/>
          <w:numId w:val="14"/>
        </w:numPr>
        <w:autoSpaceDE w:val="0"/>
        <w:autoSpaceDN w:val="0"/>
        <w:adjustRightInd w:val="0"/>
        <w:spacing w:after="0" w:line="240" w:lineRule="auto"/>
        <w:rPr>
          <w:rFonts w:ascii="Calibri" w:hAnsi="Calibri" w:cs="Calibri"/>
          <w:color w:val="000000"/>
        </w:rPr>
      </w:pPr>
    </w:p>
    <w:p w14:paraId="036B25AD" w14:textId="77777777" w:rsidR="00256A7C" w:rsidRDefault="00256A7C" w:rsidP="00256A7C">
      <w:pPr>
        <w:pStyle w:val="Default"/>
        <w:numPr>
          <w:ilvl w:val="0"/>
          <w:numId w:val="13"/>
        </w:numPr>
        <w:rPr>
          <w:sz w:val="22"/>
          <w:szCs w:val="22"/>
        </w:rPr>
      </w:pPr>
    </w:p>
    <w:p w14:paraId="40911A17" w14:textId="77777777" w:rsidR="00256A7C" w:rsidRDefault="00256A7C" w:rsidP="00256A7C">
      <w:pPr>
        <w:pStyle w:val="Default"/>
        <w:rPr>
          <w:sz w:val="22"/>
          <w:szCs w:val="22"/>
        </w:rPr>
      </w:pPr>
    </w:p>
    <w:p w14:paraId="19A2BFB2" w14:textId="77777777" w:rsidR="00256A7C" w:rsidRPr="00B3489C" w:rsidRDefault="00256A7C" w:rsidP="00256A7C">
      <w:pPr>
        <w:pStyle w:val="Default"/>
        <w:ind w:left="720"/>
        <w:rPr>
          <w:sz w:val="22"/>
          <w:szCs w:val="22"/>
        </w:rPr>
      </w:pPr>
    </w:p>
    <w:p w14:paraId="13A0D341" w14:textId="77777777" w:rsidR="00256A7C" w:rsidRPr="00B3489C" w:rsidRDefault="00256A7C" w:rsidP="00256A7C">
      <w:pPr>
        <w:pStyle w:val="Listenabsatz"/>
        <w:spacing w:after="0"/>
      </w:pPr>
    </w:p>
    <w:p w14:paraId="666D7120" w14:textId="77777777" w:rsidR="008838FC" w:rsidRPr="008838FC" w:rsidRDefault="008838FC" w:rsidP="008838FC">
      <w:pPr>
        <w:spacing w:after="0"/>
      </w:pPr>
    </w:p>
    <w:sectPr w:rsidR="008838FC" w:rsidRPr="008838FC">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545C5" w14:textId="77777777" w:rsidR="006B1F23" w:rsidRDefault="006B1F23" w:rsidP="0093226D">
      <w:pPr>
        <w:spacing w:after="0" w:line="240" w:lineRule="auto"/>
      </w:pPr>
      <w:r>
        <w:separator/>
      </w:r>
    </w:p>
  </w:endnote>
  <w:endnote w:type="continuationSeparator" w:id="0">
    <w:p w14:paraId="3125B0BF" w14:textId="77777777" w:rsidR="006B1F23" w:rsidRDefault="006B1F23" w:rsidP="0093226D">
      <w:pPr>
        <w:spacing w:after="0" w:line="240" w:lineRule="auto"/>
      </w:pPr>
      <w:r>
        <w:continuationSeparator/>
      </w:r>
    </w:p>
  </w:endnote>
  <w:endnote w:type="continuationNotice" w:id="1">
    <w:p w14:paraId="5833E3CE" w14:textId="77777777" w:rsidR="006B1F23" w:rsidRDefault="006B1F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FEA20" w14:textId="77777777" w:rsidR="006B1F23" w:rsidRDefault="006B1F23" w:rsidP="0093226D">
      <w:pPr>
        <w:spacing w:after="0" w:line="240" w:lineRule="auto"/>
      </w:pPr>
      <w:r>
        <w:separator/>
      </w:r>
    </w:p>
  </w:footnote>
  <w:footnote w:type="continuationSeparator" w:id="0">
    <w:p w14:paraId="27C12FA6" w14:textId="77777777" w:rsidR="006B1F23" w:rsidRDefault="006B1F23" w:rsidP="0093226D">
      <w:pPr>
        <w:spacing w:after="0" w:line="240" w:lineRule="auto"/>
      </w:pPr>
      <w:r>
        <w:continuationSeparator/>
      </w:r>
    </w:p>
  </w:footnote>
  <w:footnote w:type="continuationNotice" w:id="1">
    <w:p w14:paraId="77036A49" w14:textId="77777777" w:rsidR="006B1F23" w:rsidRDefault="006B1F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26E16" w14:textId="18FC9D40" w:rsidR="0093226D" w:rsidRDefault="0093226D" w:rsidP="0093226D">
    <w:pPr>
      <w:pStyle w:val="Kopfzeile"/>
    </w:pPr>
    <w:r>
      <w:t xml:space="preserve">Medizinische Strahlenwissenschaften </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41155C"/>
    <w:multiLevelType w:val="hybridMultilevel"/>
    <w:tmpl w:val="52F2DD8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5F135A"/>
    <w:multiLevelType w:val="hybridMultilevel"/>
    <w:tmpl w:val="4CA83DE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0CC34D70"/>
    <w:multiLevelType w:val="hybridMultilevel"/>
    <w:tmpl w:val="6FB26720"/>
    <w:lvl w:ilvl="0" w:tplc="FAF8B7CA">
      <w:start w:val="1"/>
      <w:numFmt w:val="lowerLetter"/>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4024A0C"/>
    <w:multiLevelType w:val="hybridMultilevel"/>
    <w:tmpl w:val="E37213F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1C53657B"/>
    <w:multiLevelType w:val="hybridMultilevel"/>
    <w:tmpl w:val="38B24F4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B60DA46"/>
    <w:multiLevelType w:val="hybridMultilevel"/>
    <w:tmpl w:val="214D13B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BE534E2"/>
    <w:multiLevelType w:val="hybridMultilevel"/>
    <w:tmpl w:val="C6506A16"/>
    <w:lvl w:ilvl="0" w:tplc="8250C23A">
      <w:numFmt w:val="bullet"/>
      <w:lvlText w:val="-"/>
      <w:lvlJc w:val="left"/>
      <w:pPr>
        <w:ind w:left="1778" w:hanging="360"/>
      </w:pPr>
      <w:rPr>
        <w:rFonts w:ascii="Calibri" w:eastAsiaTheme="minorHAnsi" w:hAnsi="Calibri" w:cs="Calibri" w:hint="default"/>
      </w:rPr>
    </w:lvl>
    <w:lvl w:ilvl="1" w:tplc="04070003" w:tentative="1">
      <w:start w:val="1"/>
      <w:numFmt w:val="bullet"/>
      <w:lvlText w:val="o"/>
      <w:lvlJc w:val="left"/>
      <w:pPr>
        <w:ind w:left="2498" w:hanging="360"/>
      </w:pPr>
      <w:rPr>
        <w:rFonts w:ascii="Courier New" w:hAnsi="Courier New" w:cs="Courier New" w:hint="default"/>
      </w:rPr>
    </w:lvl>
    <w:lvl w:ilvl="2" w:tplc="04070005" w:tentative="1">
      <w:start w:val="1"/>
      <w:numFmt w:val="bullet"/>
      <w:lvlText w:val=""/>
      <w:lvlJc w:val="left"/>
      <w:pPr>
        <w:ind w:left="3218" w:hanging="360"/>
      </w:pPr>
      <w:rPr>
        <w:rFonts w:ascii="Wingdings" w:hAnsi="Wingdings" w:hint="default"/>
      </w:rPr>
    </w:lvl>
    <w:lvl w:ilvl="3" w:tplc="04070001" w:tentative="1">
      <w:start w:val="1"/>
      <w:numFmt w:val="bullet"/>
      <w:lvlText w:val=""/>
      <w:lvlJc w:val="left"/>
      <w:pPr>
        <w:ind w:left="3938" w:hanging="360"/>
      </w:pPr>
      <w:rPr>
        <w:rFonts w:ascii="Symbol" w:hAnsi="Symbol" w:hint="default"/>
      </w:rPr>
    </w:lvl>
    <w:lvl w:ilvl="4" w:tplc="04070003" w:tentative="1">
      <w:start w:val="1"/>
      <w:numFmt w:val="bullet"/>
      <w:lvlText w:val="o"/>
      <w:lvlJc w:val="left"/>
      <w:pPr>
        <w:ind w:left="4658" w:hanging="360"/>
      </w:pPr>
      <w:rPr>
        <w:rFonts w:ascii="Courier New" w:hAnsi="Courier New" w:cs="Courier New" w:hint="default"/>
      </w:rPr>
    </w:lvl>
    <w:lvl w:ilvl="5" w:tplc="04070005" w:tentative="1">
      <w:start w:val="1"/>
      <w:numFmt w:val="bullet"/>
      <w:lvlText w:val=""/>
      <w:lvlJc w:val="left"/>
      <w:pPr>
        <w:ind w:left="5378" w:hanging="360"/>
      </w:pPr>
      <w:rPr>
        <w:rFonts w:ascii="Wingdings" w:hAnsi="Wingdings" w:hint="default"/>
      </w:rPr>
    </w:lvl>
    <w:lvl w:ilvl="6" w:tplc="04070001" w:tentative="1">
      <w:start w:val="1"/>
      <w:numFmt w:val="bullet"/>
      <w:lvlText w:val=""/>
      <w:lvlJc w:val="left"/>
      <w:pPr>
        <w:ind w:left="6098" w:hanging="360"/>
      </w:pPr>
      <w:rPr>
        <w:rFonts w:ascii="Symbol" w:hAnsi="Symbol" w:hint="default"/>
      </w:rPr>
    </w:lvl>
    <w:lvl w:ilvl="7" w:tplc="04070003" w:tentative="1">
      <w:start w:val="1"/>
      <w:numFmt w:val="bullet"/>
      <w:lvlText w:val="o"/>
      <w:lvlJc w:val="left"/>
      <w:pPr>
        <w:ind w:left="6818" w:hanging="360"/>
      </w:pPr>
      <w:rPr>
        <w:rFonts w:ascii="Courier New" w:hAnsi="Courier New" w:cs="Courier New" w:hint="default"/>
      </w:rPr>
    </w:lvl>
    <w:lvl w:ilvl="8" w:tplc="04070005" w:tentative="1">
      <w:start w:val="1"/>
      <w:numFmt w:val="bullet"/>
      <w:lvlText w:val=""/>
      <w:lvlJc w:val="left"/>
      <w:pPr>
        <w:ind w:left="7538" w:hanging="360"/>
      </w:pPr>
      <w:rPr>
        <w:rFonts w:ascii="Wingdings" w:hAnsi="Wingdings" w:hint="default"/>
      </w:rPr>
    </w:lvl>
  </w:abstractNum>
  <w:abstractNum w:abstractNumId="7" w15:restartNumberingAfterBreak="0">
    <w:nsid w:val="2FBA1F90"/>
    <w:multiLevelType w:val="hybridMultilevel"/>
    <w:tmpl w:val="2648E7C2"/>
    <w:lvl w:ilvl="0" w:tplc="59BACA62">
      <w:start w:val="1"/>
      <w:numFmt w:val="decimal"/>
      <w:lvlText w:val="%1."/>
      <w:lvlJc w:val="left"/>
      <w:pPr>
        <w:ind w:left="720" w:hanging="360"/>
      </w:pPr>
      <w:rPr>
        <w:rFonts w:hint="default"/>
        <w:b/>
        <w:bCs/>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14568F7"/>
    <w:multiLevelType w:val="hybridMultilevel"/>
    <w:tmpl w:val="5478D70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9" w15:restartNumberingAfterBreak="0">
    <w:nsid w:val="319E2F73"/>
    <w:multiLevelType w:val="hybridMultilevel"/>
    <w:tmpl w:val="9154D3A8"/>
    <w:lvl w:ilvl="0" w:tplc="B5783ED2">
      <w:numFmt w:val="bullet"/>
      <w:lvlText w:val=""/>
      <w:lvlJc w:val="left"/>
      <w:pPr>
        <w:ind w:left="1068" w:hanging="360"/>
      </w:pPr>
      <w:rPr>
        <w:rFonts w:ascii="Wingdings" w:eastAsiaTheme="minorHAnsi" w:hAnsi="Wingdings"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0" w15:restartNumberingAfterBreak="0">
    <w:nsid w:val="31CA60E7"/>
    <w:multiLevelType w:val="hybridMultilevel"/>
    <w:tmpl w:val="FB745A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E0C0D6D"/>
    <w:multiLevelType w:val="hybridMultilevel"/>
    <w:tmpl w:val="FC863A48"/>
    <w:lvl w:ilvl="0" w:tplc="2220808C">
      <w:numFmt w:val="bullet"/>
      <w:lvlText w:val="-"/>
      <w:lvlJc w:val="left"/>
      <w:pPr>
        <w:ind w:left="1080" w:hanging="360"/>
      </w:pPr>
      <w:rPr>
        <w:rFonts w:ascii="Calibri" w:eastAsia="Calibri" w:hAnsi="Calibri" w:cs="Calibri" w:hint="default"/>
        <w:color w:val="000000"/>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2" w15:restartNumberingAfterBreak="0">
    <w:nsid w:val="55FE41E7"/>
    <w:multiLevelType w:val="hybridMultilevel"/>
    <w:tmpl w:val="084A553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3" w15:restartNumberingAfterBreak="0">
    <w:nsid w:val="56E14870"/>
    <w:multiLevelType w:val="hybridMultilevel"/>
    <w:tmpl w:val="83E462E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4" w15:restartNumberingAfterBreak="0">
    <w:nsid w:val="7637628C"/>
    <w:multiLevelType w:val="hybridMultilevel"/>
    <w:tmpl w:val="9B00FD7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5" w15:restartNumberingAfterBreak="0">
    <w:nsid w:val="77A72181"/>
    <w:multiLevelType w:val="multilevel"/>
    <w:tmpl w:val="0434A3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8A520DD"/>
    <w:multiLevelType w:val="hybridMultilevel"/>
    <w:tmpl w:val="CA0255A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16cid:durableId="1597589397">
    <w:abstractNumId w:val="4"/>
  </w:num>
  <w:num w:numId="2" w16cid:durableId="1670864763">
    <w:abstractNumId w:val="10"/>
  </w:num>
  <w:num w:numId="3" w16cid:durableId="2049138260">
    <w:abstractNumId w:val="16"/>
  </w:num>
  <w:num w:numId="4" w16cid:durableId="1329481405">
    <w:abstractNumId w:val="15"/>
  </w:num>
  <w:num w:numId="5" w16cid:durableId="1619988365">
    <w:abstractNumId w:val="11"/>
  </w:num>
  <w:num w:numId="6" w16cid:durableId="1122385371">
    <w:abstractNumId w:val="13"/>
  </w:num>
  <w:num w:numId="7" w16cid:durableId="426655026">
    <w:abstractNumId w:val="8"/>
  </w:num>
  <w:num w:numId="8" w16cid:durableId="519047664">
    <w:abstractNumId w:val="14"/>
  </w:num>
  <w:num w:numId="9" w16cid:durableId="771239208">
    <w:abstractNumId w:val="3"/>
  </w:num>
  <w:num w:numId="10" w16cid:durableId="174806913">
    <w:abstractNumId w:val="12"/>
  </w:num>
  <w:num w:numId="11" w16cid:durableId="2050569447">
    <w:abstractNumId w:val="1"/>
  </w:num>
  <w:num w:numId="12" w16cid:durableId="223834471">
    <w:abstractNumId w:val="7"/>
  </w:num>
  <w:num w:numId="13" w16cid:durableId="1327443923">
    <w:abstractNumId w:val="0"/>
  </w:num>
  <w:num w:numId="14" w16cid:durableId="2017491618">
    <w:abstractNumId w:val="5"/>
  </w:num>
  <w:num w:numId="15" w16cid:durableId="1943805165">
    <w:abstractNumId w:val="2"/>
  </w:num>
  <w:num w:numId="16" w16cid:durableId="1987591109">
    <w:abstractNumId w:val="6"/>
  </w:num>
  <w:num w:numId="17" w16cid:durableId="11467046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FC"/>
    <w:rsid w:val="00034160"/>
    <w:rsid w:val="00035282"/>
    <w:rsid w:val="000615C6"/>
    <w:rsid w:val="00087F71"/>
    <w:rsid w:val="000A289B"/>
    <w:rsid w:val="000C730F"/>
    <w:rsid w:val="000E011E"/>
    <w:rsid w:val="000E3351"/>
    <w:rsid w:val="00101362"/>
    <w:rsid w:val="001078CE"/>
    <w:rsid w:val="00190BBC"/>
    <w:rsid w:val="001A4009"/>
    <w:rsid w:val="001D4A8A"/>
    <w:rsid w:val="001E770A"/>
    <w:rsid w:val="001F0999"/>
    <w:rsid w:val="00202488"/>
    <w:rsid w:val="00216D3D"/>
    <w:rsid w:val="0025654B"/>
    <w:rsid w:val="00256A7C"/>
    <w:rsid w:val="00277DD5"/>
    <w:rsid w:val="00315FA3"/>
    <w:rsid w:val="003161BA"/>
    <w:rsid w:val="0039664C"/>
    <w:rsid w:val="003C6A5D"/>
    <w:rsid w:val="003D2C21"/>
    <w:rsid w:val="00400CA7"/>
    <w:rsid w:val="00413650"/>
    <w:rsid w:val="00421E45"/>
    <w:rsid w:val="004429E6"/>
    <w:rsid w:val="00457381"/>
    <w:rsid w:val="004804D4"/>
    <w:rsid w:val="004E3FB4"/>
    <w:rsid w:val="005039ED"/>
    <w:rsid w:val="0050443E"/>
    <w:rsid w:val="00520BFB"/>
    <w:rsid w:val="00550861"/>
    <w:rsid w:val="00553897"/>
    <w:rsid w:val="00590C41"/>
    <w:rsid w:val="005A7AEA"/>
    <w:rsid w:val="005E0948"/>
    <w:rsid w:val="005E1A73"/>
    <w:rsid w:val="00642F65"/>
    <w:rsid w:val="00691C9E"/>
    <w:rsid w:val="006B1F23"/>
    <w:rsid w:val="006F1308"/>
    <w:rsid w:val="0072446B"/>
    <w:rsid w:val="00727688"/>
    <w:rsid w:val="007808CF"/>
    <w:rsid w:val="007B3E26"/>
    <w:rsid w:val="007D1BD6"/>
    <w:rsid w:val="00825C71"/>
    <w:rsid w:val="00841267"/>
    <w:rsid w:val="008543C6"/>
    <w:rsid w:val="00873286"/>
    <w:rsid w:val="00875E36"/>
    <w:rsid w:val="008838FC"/>
    <w:rsid w:val="008E53EC"/>
    <w:rsid w:val="0092301A"/>
    <w:rsid w:val="0093226D"/>
    <w:rsid w:val="009655F9"/>
    <w:rsid w:val="009F54CA"/>
    <w:rsid w:val="00A83FCB"/>
    <w:rsid w:val="00A90488"/>
    <w:rsid w:val="00AB2AFB"/>
    <w:rsid w:val="00B12696"/>
    <w:rsid w:val="00B4245A"/>
    <w:rsid w:val="00B86A1B"/>
    <w:rsid w:val="00BB75E3"/>
    <w:rsid w:val="00BE0CAE"/>
    <w:rsid w:val="00C30D2C"/>
    <w:rsid w:val="00D00862"/>
    <w:rsid w:val="00D329C7"/>
    <w:rsid w:val="00D36D76"/>
    <w:rsid w:val="00D57900"/>
    <w:rsid w:val="00D951F4"/>
    <w:rsid w:val="00D95E77"/>
    <w:rsid w:val="00DE6139"/>
    <w:rsid w:val="00E1213B"/>
    <w:rsid w:val="00E12814"/>
    <w:rsid w:val="00E26867"/>
    <w:rsid w:val="00E26C7F"/>
    <w:rsid w:val="00E8484F"/>
    <w:rsid w:val="00ED3AE1"/>
    <w:rsid w:val="00EE7E86"/>
    <w:rsid w:val="00F36614"/>
    <w:rsid w:val="00F6613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F796"/>
  <w15:chartTrackingRefBased/>
  <w15:docId w15:val="{12C1F062-B3AB-47DA-9E94-AA19CEF9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83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8838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838FC"/>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8838FC"/>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8838FC"/>
    <w:pPr>
      <w:ind w:left="720"/>
      <w:contextualSpacing/>
    </w:pPr>
    <w:rPr>
      <w:sz w:val="22"/>
      <w:szCs w:val="22"/>
    </w:rPr>
  </w:style>
  <w:style w:type="paragraph" w:styleId="Kopfzeile">
    <w:name w:val="header"/>
    <w:basedOn w:val="Standard"/>
    <w:link w:val="KopfzeileZchn"/>
    <w:uiPriority w:val="99"/>
    <w:unhideWhenUsed/>
    <w:rsid w:val="0093226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3226D"/>
  </w:style>
  <w:style w:type="paragraph" w:styleId="Fuzeile">
    <w:name w:val="footer"/>
    <w:basedOn w:val="Standard"/>
    <w:link w:val="FuzeileZchn"/>
    <w:uiPriority w:val="99"/>
    <w:unhideWhenUsed/>
    <w:rsid w:val="0093226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3226D"/>
  </w:style>
  <w:style w:type="character" w:styleId="Platzhaltertext">
    <w:name w:val="Placeholder Text"/>
    <w:basedOn w:val="Absatz-Standardschriftart"/>
    <w:uiPriority w:val="99"/>
    <w:semiHidden/>
    <w:rsid w:val="007808CF"/>
    <w:rPr>
      <w:color w:val="808080"/>
    </w:rPr>
  </w:style>
  <w:style w:type="paragraph" w:customStyle="1" w:styleId="Default">
    <w:name w:val="Default"/>
    <w:rsid w:val="00256A7C"/>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970</Words>
  <Characters>6114</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Schmidt</dc:creator>
  <cp:keywords/>
  <dc:description/>
  <cp:lastModifiedBy>Cora W.</cp:lastModifiedBy>
  <cp:revision>2</cp:revision>
  <dcterms:created xsi:type="dcterms:W3CDTF">2022-07-07T07:56:00Z</dcterms:created>
  <dcterms:modified xsi:type="dcterms:W3CDTF">2022-07-07T07:56:00Z</dcterms:modified>
</cp:coreProperties>
</file>