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3DE1AE" w14:textId="490F38E1" w:rsidR="003D2C21" w:rsidRDefault="008838FC" w:rsidP="008838FC">
      <w:pPr>
        <w:pStyle w:val="Titel"/>
        <w:jc w:val="center"/>
      </w:pPr>
      <w:r>
        <w:t>Prüfung in BM6 – Dosimetrie</w:t>
      </w:r>
    </w:p>
    <w:p w14:paraId="1590AB8D" w14:textId="31CF7B0E" w:rsidR="008838FC" w:rsidRDefault="008838FC" w:rsidP="008838FC">
      <w:pPr>
        <w:spacing w:after="0"/>
        <w:rPr>
          <w:b/>
        </w:rPr>
      </w:pPr>
    </w:p>
    <w:p w14:paraId="5111C56B" w14:textId="5420BAC5" w:rsidR="008838FC" w:rsidRDefault="008838FC" w:rsidP="008838FC">
      <w:pPr>
        <w:pStyle w:val="berschrift1"/>
      </w:pPr>
      <w:r>
        <w:t>Prüfung 1</w:t>
      </w:r>
    </w:p>
    <w:p w14:paraId="6805EBAC" w14:textId="6A1209E0" w:rsidR="008838FC" w:rsidRPr="00413650" w:rsidRDefault="008838FC" w:rsidP="008838FC">
      <w:pPr>
        <w:spacing w:after="0"/>
        <w:rPr>
          <w:bCs/>
          <w:sz w:val="32"/>
          <w:szCs w:val="32"/>
          <w:u w:val="single"/>
        </w:rPr>
      </w:pPr>
      <w:r w:rsidRPr="00413650">
        <w:rPr>
          <w:bCs/>
          <w:sz w:val="32"/>
          <w:szCs w:val="32"/>
          <w:u w:val="single"/>
        </w:rPr>
        <w:t>Allgemeines</w:t>
      </w:r>
    </w:p>
    <w:p w14:paraId="5BEB89F6" w14:textId="73E02435" w:rsidR="008838FC" w:rsidRDefault="008838FC" w:rsidP="008838FC">
      <w:pPr>
        <w:spacing w:after="0"/>
      </w:pPr>
      <w:r>
        <w:t>Im</w:t>
      </w:r>
      <w:r w:rsidRPr="008838FC">
        <w:t xml:space="preserve"> Modul BM6 Dosimetrie</w:t>
      </w:r>
      <w:r>
        <w:t xml:space="preserve"> beim Herrn Dohm</w:t>
      </w:r>
      <w:r w:rsidRPr="008838FC">
        <w:t xml:space="preserve"> </w:t>
      </w:r>
      <w:r>
        <w:t xml:space="preserve">werden insgesamt zwei Klausuren geschrieben. Die erste wird bereits früh (noch vor Weihnachten, bei uns Anfang Dezember) geschrieben. Aufgebaut ist die Klausur aus </w:t>
      </w:r>
      <w:r w:rsidR="001D4A8A">
        <w:t>15</w:t>
      </w:r>
      <w:r>
        <w:t xml:space="preserve"> Freitextaufgaben. Für die Klausur sind 60 Minuten angesetzt und für kleinere Aufgaben wird ein Taschenrechner benötigt.</w:t>
      </w:r>
    </w:p>
    <w:p w14:paraId="550B4698" w14:textId="77777777" w:rsidR="008838FC" w:rsidRDefault="008838FC" w:rsidP="008838FC">
      <w:pPr>
        <w:spacing w:after="0"/>
      </w:pPr>
      <w:r>
        <w:t xml:space="preserve">In unserem Jahrgang kamen überwiegend Fragen aus den vorherigen Jahren dran. </w:t>
      </w:r>
    </w:p>
    <w:p w14:paraId="6841F38A" w14:textId="5EFE18D3" w:rsidR="008838FC" w:rsidRPr="008838FC" w:rsidRDefault="008838FC" w:rsidP="008838FC">
      <w:pPr>
        <w:spacing w:after="0"/>
      </w:pPr>
      <w:r>
        <w:t xml:space="preserve"> </w:t>
      </w:r>
    </w:p>
    <w:p w14:paraId="4EAF1D8B" w14:textId="516A7566" w:rsidR="008838FC" w:rsidRPr="00413650" w:rsidRDefault="008838FC" w:rsidP="008838FC">
      <w:pPr>
        <w:spacing w:after="0"/>
        <w:rPr>
          <w:bCs/>
          <w:sz w:val="32"/>
          <w:szCs w:val="32"/>
          <w:u w:val="single"/>
        </w:rPr>
      </w:pPr>
      <w:r w:rsidRPr="00413650">
        <w:rPr>
          <w:bCs/>
          <w:sz w:val="32"/>
          <w:szCs w:val="32"/>
          <w:u w:val="single"/>
        </w:rPr>
        <w:t>Fragen</w:t>
      </w:r>
    </w:p>
    <w:p w14:paraId="2282850C" w14:textId="477C2081" w:rsidR="008838FC" w:rsidRPr="00413650" w:rsidRDefault="008838FC" w:rsidP="008838FC">
      <w:pPr>
        <w:pStyle w:val="Listenabsatz"/>
        <w:numPr>
          <w:ilvl w:val="0"/>
          <w:numId w:val="2"/>
        </w:numPr>
        <w:rPr>
          <w:b/>
          <w:bCs/>
          <w:sz w:val="24"/>
          <w:szCs w:val="24"/>
        </w:rPr>
      </w:pPr>
      <w:r w:rsidRPr="00413650">
        <w:rPr>
          <w:b/>
          <w:bCs/>
          <w:sz w:val="24"/>
          <w:szCs w:val="24"/>
        </w:rPr>
        <w:t xml:space="preserve">Wie kann man aus physikalischer Sicht erklären, warum die </w:t>
      </w:r>
      <w:proofErr w:type="spellStart"/>
      <w:r w:rsidRPr="00413650">
        <w:rPr>
          <w:b/>
          <w:bCs/>
          <w:sz w:val="24"/>
          <w:szCs w:val="24"/>
        </w:rPr>
        <w:t>Photoabsorption</w:t>
      </w:r>
      <w:proofErr w:type="spellEnd"/>
      <w:r w:rsidRPr="00413650">
        <w:rPr>
          <w:b/>
          <w:bCs/>
          <w:sz w:val="24"/>
          <w:szCs w:val="24"/>
        </w:rPr>
        <w:t xml:space="preserve"> bevorzugt an stark gebunden Elektronen und die </w:t>
      </w:r>
      <w:proofErr w:type="spellStart"/>
      <w:r w:rsidRPr="00413650">
        <w:rPr>
          <w:b/>
          <w:bCs/>
          <w:sz w:val="24"/>
          <w:szCs w:val="24"/>
        </w:rPr>
        <w:t>Comptopnstreuung</w:t>
      </w:r>
      <w:proofErr w:type="spellEnd"/>
      <w:r w:rsidRPr="00413650">
        <w:rPr>
          <w:b/>
          <w:bCs/>
          <w:sz w:val="24"/>
          <w:szCs w:val="24"/>
        </w:rPr>
        <w:t xml:space="preserve"> bevorzugt an schwach gebunden Hüllenelektronen auftritt?</w:t>
      </w:r>
    </w:p>
    <w:p w14:paraId="7FF7C94E" w14:textId="142F2F5D" w:rsidR="008838FC" w:rsidRDefault="009655F9" w:rsidP="00413650">
      <w:pPr>
        <w:ind w:left="709"/>
      </w:pPr>
      <w:r>
        <w:t xml:space="preserve">Bei der </w:t>
      </w:r>
      <w:proofErr w:type="spellStart"/>
      <w:r>
        <w:t>Photoabsorption</w:t>
      </w:r>
      <w:proofErr w:type="spellEnd"/>
      <w:r>
        <w:t xml:space="preserve"> </w:t>
      </w:r>
      <w:r w:rsidR="000E3351">
        <w:t xml:space="preserve">ist die Impuls- und Energieerhaltung zentral, weshalb der Kern als 3. Objekt für die Erhaltung benötigt wird. </w:t>
      </w:r>
      <w:r w:rsidR="008543C6">
        <w:t>Somit muss diese WW an kernnahen Elektronen stattfinden.</w:t>
      </w:r>
    </w:p>
    <w:p w14:paraId="7138D1AF" w14:textId="1CC755E2" w:rsidR="008543C6" w:rsidRDefault="008543C6" w:rsidP="00413650">
      <w:pPr>
        <w:ind w:left="709"/>
      </w:pPr>
      <w:r>
        <w:t xml:space="preserve">Bei der </w:t>
      </w:r>
      <w:proofErr w:type="spellStart"/>
      <w:r>
        <w:t>Comptonstreuung</w:t>
      </w:r>
      <w:proofErr w:type="spellEnd"/>
      <w:r>
        <w:t xml:space="preserve"> ist die Impulserhaltung gewährleitet, </w:t>
      </w:r>
      <w:r w:rsidR="00A83FCB">
        <w:t xml:space="preserve">weshalb es einfacher ist, dass die WW außen stattfinden, da dort die Bindungsenergie </w:t>
      </w:r>
      <w:r w:rsidR="005039ED">
        <w:t>der</w:t>
      </w:r>
      <w:r w:rsidR="00A83FCB">
        <w:t xml:space="preserve"> Elektronen geringer ist.</w:t>
      </w:r>
    </w:p>
    <w:p w14:paraId="38893204" w14:textId="77777777" w:rsidR="00413650" w:rsidRDefault="00413650" w:rsidP="00413650">
      <w:pPr>
        <w:ind w:left="709"/>
      </w:pPr>
    </w:p>
    <w:p w14:paraId="0EC48516" w14:textId="0D223099" w:rsidR="008838FC" w:rsidRPr="00413650" w:rsidRDefault="008838FC" w:rsidP="008838FC">
      <w:pPr>
        <w:pStyle w:val="Listenabsatz"/>
        <w:numPr>
          <w:ilvl w:val="0"/>
          <w:numId w:val="2"/>
        </w:numPr>
        <w:rPr>
          <w:b/>
          <w:bCs/>
          <w:sz w:val="24"/>
          <w:szCs w:val="24"/>
        </w:rPr>
      </w:pPr>
      <w:r w:rsidRPr="00413650">
        <w:rPr>
          <w:b/>
          <w:bCs/>
          <w:sz w:val="24"/>
          <w:szCs w:val="24"/>
        </w:rPr>
        <w:t>Von welchen Parametern hängt der lineare Schwächungskoeffizient eines Absorbers ab?</w:t>
      </w:r>
    </w:p>
    <w:p w14:paraId="145CF09E" w14:textId="1854ED59" w:rsidR="008838FC" w:rsidRDefault="007D1BD6" w:rsidP="007D1BD6">
      <w:pPr>
        <w:ind w:left="709"/>
      </w:pPr>
      <w:r>
        <w:t>Elektronendichte, Energie, Kernladungszahl</w:t>
      </w:r>
    </w:p>
    <w:p w14:paraId="1F61D049" w14:textId="77777777" w:rsidR="007D1BD6" w:rsidRDefault="007D1BD6" w:rsidP="007D1BD6">
      <w:pPr>
        <w:ind w:left="709"/>
      </w:pPr>
    </w:p>
    <w:p w14:paraId="5B1A207B" w14:textId="4432D22A" w:rsidR="008838FC" w:rsidRPr="00413650" w:rsidRDefault="008838FC" w:rsidP="008838FC">
      <w:pPr>
        <w:pStyle w:val="Listenabsatz"/>
        <w:numPr>
          <w:ilvl w:val="0"/>
          <w:numId w:val="2"/>
        </w:numPr>
        <w:rPr>
          <w:b/>
          <w:bCs/>
          <w:sz w:val="24"/>
          <w:szCs w:val="24"/>
        </w:rPr>
      </w:pPr>
      <w:r w:rsidRPr="00413650">
        <w:rPr>
          <w:b/>
          <w:bCs/>
          <w:sz w:val="24"/>
          <w:szCs w:val="24"/>
        </w:rPr>
        <w:t xml:space="preserve">Welche Bedeutung hat die Aufteilung des Schwächungskoeffizienten für den </w:t>
      </w:r>
      <w:proofErr w:type="spellStart"/>
      <w:r w:rsidRPr="00413650">
        <w:rPr>
          <w:b/>
          <w:bCs/>
          <w:sz w:val="24"/>
          <w:szCs w:val="24"/>
        </w:rPr>
        <w:t>Comptoneffekt</w:t>
      </w:r>
      <w:proofErr w:type="spellEnd"/>
      <w:r w:rsidRPr="00413650">
        <w:rPr>
          <w:b/>
          <w:bCs/>
          <w:sz w:val="24"/>
          <w:szCs w:val="24"/>
        </w:rPr>
        <w:t xml:space="preserve"> in einen Schwächungs- und einen Absorptionskoeffizienten? Welcher von beiden überwiegt bei niedrigen und welcher bei hohen Photonenenergien?</w:t>
      </w:r>
    </w:p>
    <w:p w14:paraId="28024F76" w14:textId="4B9353F8" w:rsidR="008838FC" w:rsidRDefault="00553897" w:rsidP="007D1BD6">
      <w:pPr>
        <w:ind w:left="709"/>
      </w:pPr>
      <w:r>
        <w:t xml:space="preserve">Der </w:t>
      </w:r>
      <w:proofErr w:type="spellStart"/>
      <w:r>
        <w:t>Comptoneffekt</w:t>
      </w:r>
      <w:proofErr w:type="spellEnd"/>
      <w:r>
        <w:t xml:space="preserve"> trägt unterschiedlich stark zur lokalen Dosis bei, je nach Energie mehr Schwächung oder </w:t>
      </w:r>
      <w:r w:rsidR="00691C9E">
        <w:t xml:space="preserve">mehr </w:t>
      </w:r>
      <w:r>
        <w:t>Streuung.</w:t>
      </w:r>
      <w:r w:rsidR="000A289B">
        <w:t xml:space="preserve"> Deshalb erfolgt eine Aufteilung in Streu- und Absorptionskoeffizient</w:t>
      </w:r>
      <w:r w:rsidR="00873286">
        <w:t xml:space="preserve">. Dabei </w:t>
      </w:r>
      <w:r w:rsidR="00D36D76">
        <w:t>überwiegt der Streukoeffizient bei niedrigen Energien, der Absorptionskoeffizient bei hohen.</w:t>
      </w:r>
    </w:p>
    <w:p w14:paraId="0231AE77" w14:textId="77777777" w:rsidR="007D1BD6" w:rsidRDefault="007D1BD6" w:rsidP="0093226D"/>
    <w:p w14:paraId="34320B16" w14:textId="77777777" w:rsidR="007D1BD6" w:rsidRDefault="007D1BD6" w:rsidP="0093226D"/>
    <w:p w14:paraId="7776369C" w14:textId="77777777" w:rsidR="007D1BD6" w:rsidRDefault="007D1BD6" w:rsidP="0093226D"/>
    <w:p w14:paraId="5A1D102C" w14:textId="0C533B1B" w:rsidR="008838FC" w:rsidRPr="00413650" w:rsidRDefault="008838FC" w:rsidP="008838FC">
      <w:pPr>
        <w:pStyle w:val="Listenabsatz"/>
        <w:numPr>
          <w:ilvl w:val="0"/>
          <w:numId w:val="2"/>
        </w:numPr>
        <w:rPr>
          <w:b/>
          <w:bCs/>
          <w:sz w:val="24"/>
          <w:szCs w:val="24"/>
        </w:rPr>
      </w:pPr>
      <w:r w:rsidRPr="00413650">
        <w:rPr>
          <w:b/>
          <w:bCs/>
          <w:sz w:val="24"/>
          <w:szCs w:val="24"/>
        </w:rPr>
        <w:lastRenderedPageBreak/>
        <w:t xml:space="preserve">Die </w:t>
      </w:r>
      <w:proofErr w:type="spellStart"/>
      <w:r w:rsidRPr="00413650">
        <w:rPr>
          <w:b/>
          <w:bCs/>
          <w:sz w:val="24"/>
          <w:szCs w:val="24"/>
        </w:rPr>
        <w:t>Rayleighstreuung</w:t>
      </w:r>
      <w:proofErr w:type="spellEnd"/>
      <w:r w:rsidRPr="00413650">
        <w:rPr>
          <w:b/>
          <w:bCs/>
          <w:sz w:val="24"/>
          <w:szCs w:val="24"/>
        </w:rPr>
        <w:t xml:space="preserve"> trägt nichts zur Strahlenbelastung des Patienten bei. Warum ist diese Wechselwirkung, vor allem in der Röntgendiagnostik, dennoch von Nachteil?</w:t>
      </w:r>
    </w:p>
    <w:p w14:paraId="11193C13" w14:textId="079E9C80" w:rsidR="008838FC" w:rsidRDefault="00F66130" w:rsidP="0072446B">
      <w:pPr>
        <w:ind w:left="708"/>
      </w:pPr>
      <w:r>
        <w:t xml:space="preserve">Die </w:t>
      </w:r>
      <w:proofErr w:type="spellStart"/>
      <w:r>
        <w:t>Rayleighstreuung</w:t>
      </w:r>
      <w:proofErr w:type="spellEnd"/>
      <w:r>
        <w:t xml:space="preserve"> trägt zwar nicht zum Energieverlust bei, </w:t>
      </w:r>
      <w:r w:rsidR="0025654B">
        <w:t>jedoch kommt es hier zur Streuung der Photonen</w:t>
      </w:r>
      <w:r w:rsidR="00E26C7F">
        <w:t xml:space="preserve">. </w:t>
      </w:r>
      <w:r w:rsidR="00590C41">
        <w:t xml:space="preserve">Dadurch wird der primäre Photonenstrahl inhomogener und es kommt </w:t>
      </w:r>
      <w:r w:rsidR="00B86A1B">
        <w:t xml:space="preserve">zum Rauschen in den Bildern. </w:t>
      </w:r>
      <w:r w:rsidR="0025654B">
        <w:t xml:space="preserve"> </w:t>
      </w:r>
    </w:p>
    <w:p w14:paraId="3B446740" w14:textId="77777777" w:rsidR="00D951F4" w:rsidRDefault="00D951F4" w:rsidP="0072446B">
      <w:pPr>
        <w:ind w:left="708"/>
      </w:pPr>
    </w:p>
    <w:p w14:paraId="4F0910D2" w14:textId="00CF0AD4" w:rsidR="008838FC" w:rsidRPr="00413650" w:rsidRDefault="008838FC" w:rsidP="008838FC">
      <w:pPr>
        <w:pStyle w:val="Listenabsatz"/>
        <w:numPr>
          <w:ilvl w:val="0"/>
          <w:numId w:val="2"/>
        </w:numPr>
        <w:rPr>
          <w:b/>
          <w:bCs/>
          <w:sz w:val="24"/>
          <w:szCs w:val="24"/>
        </w:rPr>
      </w:pPr>
      <w:r w:rsidRPr="00413650">
        <w:rPr>
          <w:b/>
          <w:bCs/>
          <w:sz w:val="24"/>
          <w:szCs w:val="24"/>
        </w:rPr>
        <w:t>Warum müssen an einem Linearbeschleuniger Messungen von relativen Dosisverteilungen in einem Wasserphantom mit einer Referenzkammer durchgeführt werden? Warum kann man aber bei Co-60 Strahlung darauf verzichten?</w:t>
      </w:r>
    </w:p>
    <w:p w14:paraId="687F72E2" w14:textId="77777777" w:rsidR="00D951F4" w:rsidRDefault="00B86A1B" w:rsidP="00B86A1B">
      <w:pPr>
        <w:ind w:left="708"/>
      </w:pPr>
      <w:r>
        <w:t xml:space="preserve">Die Kobaltquelle liefert </w:t>
      </w:r>
      <w:r w:rsidR="00400CA7">
        <w:t>eine konstante Dosisleistung</w:t>
      </w:r>
      <w:r w:rsidR="00202488">
        <w:t xml:space="preserve">. Der Linearbeschleuniger dagegen </w:t>
      </w:r>
      <w:r w:rsidR="00520BFB">
        <w:t xml:space="preserve">erzeugt keine konstante Dosisleistung, diese ist vielmehr schwankend. </w:t>
      </w:r>
      <w:r w:rsidR="00C30D2C">
        <w:t xml:space="preserve">Über eine Referenzkammer kann unabhängig von der Position der Messkammer </w:t>
      </w:r>
      <w:r w:rsidR="00D951F4">
        <w:t xml:space="preserve">die aktuelle Schwankung ermittelt und der Messwert entsprechend korrigiert werden. </w:t>
      </w:r>
    </w:p>
    <w:p w14:paraId="04C93F51" w14:textId="29C43DB1" w:rsidR="008838FC" w:rsidRDefault="00520BFB" w:rsidP="00B86A1B">
      <w:pPr>
        <w:ind w:left="708"/>
      </w:pPr>
      <w:r>
        <w:t xml:space="preserve"> </w:t>
      </w:r>
    </w:p>
    <w:p w14:paraId="21DF0B82" w14:textId="309961B3" w:rsidR="008838FC" w:rsidRPr="00413650" w:rsidRDefault="008838FC" w:rsidP="008838FC">
      <w:pPr>
        <w:pStyle w:val="Listenabsatz"/>
        <w:numPr>
          <w:ilvl w:val="0"/>
          <w:numId w:val="2"/>
        </w:numPr>
        <w:rPr>
          <w:b/>
          <w:bCs/>
          <w:sz w:val="24"/>
          <w:szCs w:val="24"/>
        </w:rPr>
      </w:pPr>
      <w:r w:rsidRPr="00413650">
        <w:rPr>
          <w:b/>
          <w:bCs/>
          <w:sz w:val="24"/>
          <w:szCs w:val="24"/>
        </w:rPr>
        <w:t xml:space="preserve">Bei einem Patienten wird ein Tumor in 10cm Tiefe mit einem </w:t>
      </w:r>
      <w:proofErr w:type="spellStart"/>
      <w:r w:rsidRPr="00413650">
        <w:rPr>
          <w:b/>
          <w:bCs/>
          <w:sz w:val="24"/>
          <w:szCs w:val="24"/>
        </w:rPr>
        <w:t>Stehfeld</w:t>
      </w:r>
      <w:proofErr w:type="spellEnd"/>
      <w:r w:rsidRPr="00413650">
        <w:rPr>
          <w:b/>
          <w:bCs/>
          <w:sz w:val="24"/>
          <w:szCs w:val="24"/>
        </w:rPr>
        <w:t xml:space="preserve"> (6MV, SSD 100cm, Feldgröße 10x10cm) mit einer Dosis von 2Gy bestrahlt. Welche Dosis erhält der Patient im Dosismaximum? (Nur grobe Abschätzung)</w:t>
      </w:r>
    </w:p>
    <w:p w14:paraId="1EBCABBF" w14:textId="29BF3EA2" w:rsidR="008838FC" w:rsidRDefault="000615C6" w:rsidP="00E12814">
      <w:pPr>
        <w:ind w:left="708"/>
        <w:rPr>
          <w:rFonts w:eastAsiaTheme="minorEastAsia"/>
        </w:rPr>
      </w:pPr>
      <w:r>
        <w:t xml:space="preserve">Die </w:t>
      </w:r>
      <w:r w:rsidR="000E011E">
        <w:t>e</w:t>
      </w:r>
      <w:r>
        <w:t xml:space="preserve">ntsprechende Dosis kann näherungsweise </w:t>
      </w:r>
      <w:r w:rsidR="000E011E">
        <w:t>über das lineare Schwächungsgesetz berechnet werden</w:t>
      </w:r>
      <w:r w:rsidR="007808CF">
        <w:t xml:space="preserve">: </w:t>
      </w:r>
      <m:oMath>
        <m:r>
          <w:rPr>
            <w:rFonts w:ascii="Cambria Math" w:hAnsi="Cambria Math"/>
          </w:rPr>
          <m:t>D</m:t>
        </m:r>
        <m:r>
          <w:rPr>
            <w:rFonts w:ascii="Cambria Math" w:hAnsi="Cambria Math"/>
          </w:rPr>
          <m:t>(x)</m:t>
        </m:r>
        <m:r>
          <w:rPr>
            <w:rFonts w:ascii="Cambria Math" w:hAnsi="Cambria Math"/>
          </w:rPr>
          <m:t>=</m:t>
        </m:r>
        <m:sSub>
          <m:sSubPr>
            <m:ctrlPr>
              <w:rPr>
                <w:rFonts w:ascii="Cambria Math" w:hAnsi="Cambria Math"/>
                <w:i/>
              </w:rPr>
            </m:ctrlPr>
          </m:sSubPr>
          <m:e>
            <m:r>
              <w:rPr>
                <w:rFonts w:ascii="Cambria Math" w:hAnsi="Cambria Math"/>
              </w:rPr>
              <m:t>D</m:t>
            </m:r>
          </m:e>
          <m:sub>
            <m:r>
              <w:rPr>
                <w:rFonts w:ascii="Cambria Math" w:hAnsi="Cambria Math"/>
              </w:rPr>
              <m:t>0</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-μ*x</m:t>
            </m:r>
          </m:sup>
        </m:sSup>
      </m:oMath>
      <w:r w:rsidR="007808CF">
        <w:rPr>
          <w:rFonts w:eastAsiaTheme="minorEastAsia"/>
        </w:rPr>
        <w:t xml:space="preserve">. Für </w:t>
      </w:r>
      <m:oMath>
        <m:r>
          <w:rPr>
            <w:rFonts w:ascii="Cambria Math" w:hAnsi="Cambria Math"/>
          </w:rPr>
          <m:t>μ</m:t>
        </m:r>
        <m:d>
          <m:dPr>
            <m:ctrlPr>
              <w:rPr>
                <w:rFonts w:ascii="Cambria Math" w:hAnsi="Cambria Math"/>
                <w:i/>
              </w:rPr>
            </m:ctrlPr>
          </m:dPr>
          <m:e>
            <m:sSub>
              <m:sSubPr>
                <m:ctrlPr>
                  <w:rPr>
                    <w:rFonts w:ascii="Cambria Math" w:hAnsi="Cambria Math"/>
                    <w:i/>
                  </w:rPr>
                </m:ctrlPr>
              </m:sSubPr>
              <m:e>
                <m:r>
                  <w:rPr>
                    <w:rFonts w:ascii="Cambria Math" w:hAnsi="Cambria Math"/>
                  </w:rPr>
                  <m:t>H</m:t>
                </m:r>
              </m:e>
              <m:sub>
                <m:r>
                  <w:rPr>
                    <w:rFonts w:ascii="Cambria Math" w:hAnsi="Cambria Math"/>
                  </w:rPr>
                  <m:t>2</m:t>
                </m:r>
              </m:sub>
            </m:sSub>
            <m:r>
              <w:rPr>
                <w:rFonts w:ascii="Cambria Math" w:hAnsi="Cambria Math"/>
              </w:rPr>
              <m:t>O</m:t>
            </m:r>
          </m:e>
        </m:d>
        <m:r>
          <w:rPr>
            <w:rFonts w:ascii="Cambria Math" w:eastAsiaTheme="minorEastAsia" w:hAnsi="Cambria Math"/>
          </w:rPr>
          <m:t>=-0,005</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mm</m:t>
            </m:r>
          </m:den>
        </m:f>
      </m:oMath>
      <w:r w:rsidR="000C730F">
        <w:rPr>
          <w:rFonts w:eastAsiaTheme="minorEastAsia"/>
        </w:rPr>
        <w:t xml:space="preserve"> ergibt sich </w:t>
      </w:r>
      <w:r w:rsidR="00825C71">
        <w:rPr>
          <w:rFonts w:eastAsiaTheme="minorEastAsia"/>
        </w:rPr>
        <w:t xml:space="preserve">      </w:t>
      </w:r>
      <m:oMath>
        <m:sSub>
          <m:sSubPr>
            <m:ctrlPr>
              <w:rPr>
                <w:rFonts w:ascii="Cambria Math" w:hAnsi="Cambria Math"/>
                <w:i/>
              </w:rPr>
            </m:ctrlPr>
          </m:sSubPr>
          <m:e>
            <m:r>
              <w:rPr>
                <w:rFonts w:ascii="Cambria Math" w:hAnsi="Cambria Math"/>
              </w:rPr>
              <m:t>D</m:t>
            </m:r>
          </m:e>
          <m:sub>
            <m:r>
              <w:rPr>
                <w:rFonts w:ascii="Cambria Math" w:hAnsi="Cambria Math"/>
              </w:rPr>
              <m:t>0</m:t>
            </m:r>
          </m:sub>
        </m:sSub>
        <m:r>
          <w:rPr>
            <w:rFonts w:ascii="Cambria Math" w:hAnsi="Cambria Math"/>
          </w:rPr>
          <m:t>=</m:t>
        </m:r>
        <m:r>
          <w:rPr>
            <w:rFonts w:ascii="Cambria Math" w:hAnsi="Cambria Math"/>
          </w:rPr>
          <m:t>3,3 Gy</m:t>
        </m:r>
      </m:oMath>
      <w:r w:rsidR="00E26867">
        <w:rPr>
          <w:rFonts w:eastAsiaTheme="minorEastAsia"/>
        </w:rPr>
        <w:t xml:space="preserve">. </w:t>
      </w:r>
      <w:r w:rsidR="00190BBC">
        <w:rPr>
          <w:rFonts w:eastAsiaTheme="minorEastAsia"/>
        </w:rPr>
        <w:t xml:space="preserve">Für das Dosismaximum, das sich bei 6 MV etwa in 15 mm Wassertiefe befindet, ergibt sich </w:t>
      </w:r>
      <m:oMath>
        <m:sSub>
          <m:sSubPr>
            <m:ctrlPr>
              <w:rPr>
                <w:rFonts w:ascii="Cambria Math" w:eastAsiaTheme="minorEastAsia" w:hAnsi="Cambria Math"/>
                <w:i/>
              </w:rPr>
            </m:ctrlPr>
          </m:sSubPr>
          <m:e>
            <m:r>
              <w:rPr>
                <w:rFonts w:ascii="Cambria Math" w:eastAsiaTheme="minorEastAsia" w:hAnsi="Cambria Math"/>
              </w:rPr>
              <m:t>D</m:t>
            </m:r>
          </m:e>
          <m:sub>
            <m:r>
              <w:rPr>
                <w:rFonts w:ascii="Cambria Math" w:eastAsiaTheme="minorEastAsia" w:hAnsi="Cambria Math"/>
              </w:rPr>
              <m:t>max</m:t>
            </m:r>
          </m:sub>
        </m:sSub>
        <m:r>
          <w:rPr>
            <w:rFonts w:ascii="Cambria Math" w:eastAsiaTheme="minorEastAsia" w:hAnsi="Cambria Math"/>
          </w:rPr>
          <m:t>=</m:t>
        </m:r>
        <m:r>
          <w:rPr>
            <w:rFonts w:ascii="Cambria Math" w:eastAsiaTheme="minorEastAsia" w:hAnsi="Cambria Math"/>
          </w:rPr>
          <m:t>3,06 Gy</m:t>
        </m:r>
      </m:oMath>
      <w:r w:rsidR="00825C71">
        <w:rPr>
          <w:rFonts w:eastAsiaTheme="minorEastAsia"/>
        </w:rPr>
        <w:t>.</w:t>
      </w:r>
    </w:p>
    <w:p w14:paraId="7169DD8C" w14:textId="77777777" w:rsidR="00421E45" w:rsidRDefault="00421E45" w:rsidP="00E12814">
      <w:pPr>
        <w:ind w:left="708"/>
      </w:pPr>
    </w:p>
    <w:p w14:paraId="5F1C953A" w14:textId="3C01E3D5" w:rsidR="008838FC" w:rsidRPr="00413650" w:rsidRDefault="008838FC" w:rsidP="008838FC">
      <w:pPr>
        <w:pStyle w:val="Listenabsatz"/>
        <w:numPr>
          <w:ilvl w:val="0"/>
          <w:numId w:val="2"/>
        </w:numPr>
        <w:rPr>
          <w:b/>
          <w:bCs/>
          <w:sz w:val="24"/>
          <w:szCs w:val="24"/>
        </w:rPr>
      </w:pPr>
      <w:r w:rsidRPr="00413650">
        <w:rPr>
          <w:b/>
          <w:bCs/>
          <w:sz w:val="24"/>
          <w:szCs w:val="24"/>
        </w:rPr>
        <w:t>Erkläre kurz den Aufbaueffekt von Photonenstrahlung</w:t>
      </w:r>
    </w:p>
    <w:p w14:paraId="7D1973FD" w14:textId="6C24706D" w:rsidR="008838FC" w:rsidRDefault="00035282" w:rsidP="00825C71">
      <w:pPr>
        <w:ind w:left="708"/>
      </w:pPr>
      <w:r>
        <w:t>Mit zunehmender Tiefe entstehen in jeder Schicht durch Wechselwirkung der Primärphotonen mit der Materie Sekundärelektronen. In den folgenden Schichten entstehen weitere Sekundärelektronen, deren Bahnen und Dosisbeiträge sich mit denen der bereits vorhandenen Elektronen überlagern. Dadurch nimmt die insgesamt absorbierte Energie pro Schicht mit zunehmender Tiefe zu. Sobald die erste Generation der Sekundärelektronen zum Stillstand kommt, ist das Dosismaximum erreicht</w:t>
      </w:r>
    </w:p>
    <w:p w14:paraId="21935E1E" w14:textId="77777777" w:rsidR="00550861" w:rsidRDefault="00550861" w:rsidP="00825C71">
      <w:pPr>
        <w:ind w:left="708"/>
      </w:pPr>
    </w:p>
    <w:p w14:paraId="2F8E31CE" w14:textId="47985683" w:rsidR="008838FC" w:rsidRPr="00413650" w:rsidRDefault="008838FC" w:rsidP="008838FC">
      <w:pPr>
        <w:pStyle w:val="Listenabsatz"/>
        <w:numPr>
          <w:ilvl w:val="0"/>
          <w:numId w:val="2"/>
        </w:numPr>
        <w:rPr>
          <w:b/>
          <w:bCs/>
          <w:sz w:val="24"/>
          <w:szCs w:val="24"/>
        </w:rPr>
      </w:pPr>
      <w:r w:rsidRPr="00413650">
        <w:rPr>
          <w:b/>
          <w:bCs/>
          <w:sz w:val="24"/>
          <w:szCs w:val="24"/>
        </w:rPr>
        <w:t>Welchen Zweck hat die Abnahmeprüfung in Röntgeneinrichtungen?</w:t>
      </w:r>
    </w:p>
    <w:p w14:paraId="3A3BA832" w14:textId="74AB0D88" w:rsidR="00D329C7" w:rsidRDefault="00D329C7" w:rsidP="00DE6139">
      <w:pPr>
        <w:ind w:left="708"/>
      </w:pPr>
      <w:r>
        <w:t>Ziel der Abnahmeprüfung ist das Festlegen von Referenzwerten für die Konstanzprüfungen</w:t>
      </w:r>
    </w:p>
    <w:p w14:paraId="66339CFC" w14:textId="77777777" w:rsidR="008838FC" w:rsidRDefault="008838FC" w:rsidP="0093226D"/>
    <w:p w14:paraId="090D81A7" w14:textId="093D3CAC" w:rsidR="008838FC" w:rsidRPr="00413650" w:rsidRDefault="00457381" w:rsidP="008838FC">
      <w:pPr>
        <w:pStyle w:val="Listenabsatz"/>
        <w:numPr>
          <w:ilvl w:val="0"/>
          <w:numId w:val="2"/>
        </w:numPr>
        <w:rPr>
          <w:b/>
          <w:bCs/>
          <w:sz w:val="24"/>
          <w:szCs w:val="24"/>
        </w:rPr>
      </w:pPr>
      <w:r>
        <w:rPr>
          <w:b/>
          <w:bCs/>
          <w:sz w:val="24"/>
          <w:szCs w:val="24"/>
        </w:rPr>
        <w:lastRenderedPageBreak/>
        <w:t>Nenne</w:t>
      </w:r>
      <w:r w:rsidR="00DE6139">
        <w:rPr>
          <w:b/>
          <w:bCs/>
          <w:sz w:val="24"/>
          <w:szCs w:val="24"/>
        </w:rPr>
        <w:t xml:space="preserve"> die </w:t>
      </w:r>
      <w:r w:rsidR="008838FC" w:rsidRPr="00413650">
        <w:rPr>
          <w:b/>
          <w:bCs/>
          <w:sz w:val="24"/>
          <w:szCs w:val="24"/>
        </w:rPr>
        <w:t xml:space="preserve">5 wichtigsten </w:t>
      </w:r>
      <w:r w:rsidR="00DE6139">
        <w:rPr>
          <w:b/>
          <w:bCs/>
          <w:sz w:val="24"/>
          <w:szCs w:val="24"/>
        </w:rPr>
        <w:t xml:space="preserve">Wechselwirkungen von </w:t>
      </w:r>
      <w:r w:rsidR="008838FC" w:rsidRPr="00413650">
        <w:rPr>
          <w:b/>
          <w:bCs/>
          <w:sz w:val="24"/>
          <w:szCs w:val="24"/>
        </w:rPr>
        <w:t xml:space="preserve">Photonen </w:t>
      </w:r>
      <w:r w:rsidR="00DE6139">
        <w:rPr>
          <w:b/>
          <w:bCs/>
          <w:sz w:val="24"/>
          <w:szCs w:val="24"/>
        </w:rPr>
        <w:t xml:space="preserve">und gebe die dazugehörigen </w:t>
      </w:r>
      <w:r w:rsidR="008838FC" w:rsidRPr="00413650">
        <w:rPr>
          <w:b/>
          <w:bCs/>
          <w:sz w:val="24"/>
          <w:szCs w:val="24"/>
        </w:rPr>
        <w:t>Energiebereiche an</w:t>
      </w:r>
    </w:p>
    <w:p w14:paraId="26F0670A" w14:textId="71F62EA7" w:rsidR="008838FC" w:rsidRPr="009F54CA" w:rsidRDefault="00E8484F" w:rsidP="00DE6139">
      <w:pPr>
        <w:pStyle w:val="Listenabsatz"/>
        <w:numPr>
          <w:ilvl w:val="0"/>
          <w:numId w:val="3"/>
        </w:numPr>
        <w:rPr>
          <w:sz w:val="24"/>
          <w:szCs w:val="24"/>
        </w:rPr>
      </w:pPr>
      <w:r w:rsidRPr="009F54CA">
        <w:rPr>
          <w:sz w:val="24"/>
          <w:szCs w:val="24"/>
        </w:rPr>
        <w:t>Photoeffekt bis 30 keV</w:t>
      </w:r>
    </w:p>
    <w:p w14:paraId="0C68AA84" w14:textId="7A86AACF" w:rsidR="00E8484F" w:rsidRPr="009F54CA" w:rsidRDefault="00E8484F" w:rsidP="00DE6139">
      <w:pPr>
        <w:pStyle w:val="Listenabsatz"/>
        <w:numPr>
          <w:ilvl w:val="0"/>
          <w:numId w:val="3"/>
        </w:numPr>
        <w:rPr>
          <w:sz w:val="24"/>
          <w:szCs w:val="24"/>
        </w:rPr>
      </w:pPr>
      <w:r w:rsidRPr="009F54CA">
        <w:rPr>
          <w:sz w:val="24"/>
          <w:szCs w:val="24"/>
        </w:rPr>
        <w:t>Kohärente Streuung im Bereich 10 – 200 keV</w:t>
      </w:r>
    </w:p>
    <w:p w14:paraId="1B53BDD0" w14:textId="37E7ED69" w:rsidR="00E8484F" w:rsidRPr="009F54CA" w:rsidRDefault="00E8484F" w:rsidP="00DE6139">
      <w:pPr>
        <w:pStyle w:val="Listenabsatz"/>
        <w:numPr>
          <w:ilvl w:val="0"/>
          <w:numId w:val="3"/>
        </w:numPr>
        <w:rPr>
          <w:sz w:val="24"/>
          <w:szCs w:val="24"/>
        </w:rPr>
      </w:pPr>
      <w:proofErr w:type="spellStart"/>
      <w:r w:rsidRPr="009F54CA">
        <w:rPr>
          <w:sz w:val="24"/>
          <w:szCs w:val="24"/>
        </w:rPr>
        <w:t>Comptonstreuung</w:t>
      </w:r>
      <w:proofErr w:type="spellEnd"/>
      <w:r w:rsidRPr="009F54CA">
        <w:rPr>
          <w:sz w:val="24"/>
          <w:szCs w:val="24"/>
        </w:rPr>
        <w:t xml:space="preserve"> 30 keV – 3 MeV</w:t>
      </w:r>
    </w:p>
    <w:p w14:paraId="578BA04C" w14:textId="2BE720FA" w:rsidR="00E8484F" w:rsidRPr="009F54CA" w:rsidRDefault="00E8484F" w:rsidP="00DE6139">
      <w:pPr>
        <w:pStyle w:val="Listenabsatz"/>
        <w:numPr>
          <w:ilvl w:val="0"/>
          <w:numId w:val="3"/>
        </w:numPr>
        <w:rPr>
          <w:sz w:val="24"/>
          <w:szCs w:val="24"/>
        </w:rPr>
      </w:pPr>
      <w:r w:rsidRPr="009F54CA">
        <w:rPr>
          <w:sz w:val="24"/>
          <w:szCs w:val="24"/>
        </w:rPr>
        <w:t>Paarbildung &gt;</w:t>
      </w:r>
      <w:r w:rsidR="0092301A" w:rsidRPr="009F54CA">
        <w:rPr>
          <w:sz w:val="24"/>
          <w:szCs w:val="24"/>
        </w:rPr>
        <w:t xml:space="preserve"> 1,022 MeV</w:t>
      </w:r>
    </w:p>
    <w:p w14:paraId="5CE8D130" w14:textId="1A19EA1D" w:rsidR="0092301A" w:rsidRPr="009F54CA" w:rsidRDefault="0092301A" w:rsidP="00DE6139">
      <w:pPr>
        <w:pStyle w:val="Listenabsatz"/>
        <w:numPr>
          <w:ilvl w:val="0"/>
          <w:numId w:val="3"/>
        </w:numPr>
        <w:rPr>
          <w:sz w:val="24"/>
          <w:szCs w:val="24"/>
        </w:rPr>
      </w:pPr>
      <w:r w:rsidRPr="009F54CA">
        <w:rPr>
          <w:sz w:val="24"/>
          <w:szCs w:val="24"/>
        </w:rPr>
        <w:t>Kernphotoeffekt 6 – 10 MeV</w:t>
      </w:r>
    </w:p>
    <w:p w14:paraId="4000B5E4" w14:textId="77777777" w:rsidR="00DE6139" w:rsidRPr="008E53EC" w:rsidRDefault="00DE6139" w:rsidP="00DE6139">
      <w:pPr>
        <w:rPr>
          <w:sz w:val="22"/>
          <w:szCs w:val="22"/>
        </w:rPr>
      </w:pPr>
    </w:p>
    <w:p w14:paraId="3236CA3B" w14:textId="6E768BCD" w:rsidR="008838FC" w:rsidRPr="00413650" w:rsidRDefault="008838FC" w:rsidP="008838FC">
      <w:pPr>
        <w:pStyle w:val="Listenabsatz"/>
        <w:numPr>
          <w:ilvl w:val="0"/>
          <w:numId w:val="2"/>
        </w:numPr>
        <w:rPr>
          <w:b/>
          <w:bCs/>
          <w:sz w:val="24"/>
          <w:szCs w:val="24"/>
        </w:rPr>
      </w:pPr>
      <w:r w:rsidRPr="00413650">
        <w:rPr>
          <w:b/>
          <w:bCs/>
          <w:sz w:val="24"/>
          <w:szCs w:val="24"/>
        </w:rPr>
        <w:t>4 Parameter wovon Tiefendosisverlauf abhängt und kurz erklären?</w:t>
      </w:r>
    </w:p>
    <w:p w14:paraId="6C8EF3A5" w14:textId="09B2E313" w:rsidR="008838FC" w:rsidRPr="009F54CA" w:rsidRDefault="00553897" w:rsidP="00457381">
      <w:pPr>
        <w:pStyle w:val="Listenabsatz"/>
        <w:numPr>
          <w:ilvl w:val="0"/>
          <w:numId w:val="3"/>
        </w:numPr>
        <w:rPr>
          <w:sz w:val="24"/>
          <w:szCs w:val="24"/>
        </w:rPr>
      </w:pPr>
      <w:r w:rsidRPr="009F54CA">
        <w:rPr>
          <w:sz w:val="24"/>
          <w:szCs w:val="24"/>
        </w:rPr>
        <w:t>Material</w:t>
      </w:r>
    </w:p>
    <w:p w14:paraId="2EBE033B" w14:textId="49793A1B" w:rsidR="00553897" w:rsidRPr="009F54CA" w:rsidRDefault="00553897" w:rsidP="00457381">
      <w:pPr>
        <w:pStyle w:val="Listenabsatz"/>
        <w:numPr>
          <w:ilvl w:val="0"/>
          <w:numId w:val="3"/>
        </w:numPr>
        <w:rPr>
          <w:sz w:val="24"/>
          <w:szCs w:val="24"/>
        </w:rPr>
      </w:pPr>
      <w:r w:rsidRPr="009F54CA">
        <w:rPr>
          <w:sz w:val="24"/>
          <w:szCs w:val="24"/>
        </w:rPr>
        <w:t>Abstand</w:t>
      </w:r>
    </w:p>
    <w:p w14:paraId="4AB6E943" w14:textId="03AEA5BA" w:rsidR="00553897" w:rsidRPr="009F54CA" w:rsidRDefault="00553897" w:rsidP="00457381">
      <w:pPr>
        <w:pStyle w:val="Listenabsatz"/>
        <w:numPr>
          <w:ilvl w:val="0"/>
          <w:numId w:val="3"/>
        </w:numPr>
        <w:rPr>
          <w:sz w:val="24"/>
          <w:szCs w:val="24"/>
        </w:rPr>
      </w:pPr>
      <w:r w:rsidRPr="009F54CA">
        <w:rPr>
          <w:sz w:val="24"/>
          <w:szCs w:val="24"/>
        </w:rPr>
        <w:t>Feldgröße</w:t>
      </w:r>
    </w:p>
    <w:p w14:paraId="5E187DFA" w14:textId="359F4507" w:rsidR="00553897" w:rsidRPr="009F54CA" w:rsidRDefault="00E8484F" w:rsidP="00457381">
      <w:pPr>
        <w:pStyle w:val="Listenabsatz"/>
        <w:numPr>
          <w:ilvl w:val="0"/>
          <w:numId w:val="3"/>
        </w:numPr>
        <w:rPr>
          <w:sz w:val="24"/>
          <w:szCs w:val="24"/>
        </w:rPr>
      </w:pPr>
      <w:r w:rsidRPr="009F54CA">
        <w:rPr>
          <w:sz w:val="24"/>
          <w:szCs w:val="24"/>
        </w:rPr>
        <w:t>Photonenenergie: Beeinflussung des Schwächungskoeffizienten</w:t>
      </w:r>
    </w:p>
    <w:p w14:paraId="4BF066D0" w14:textId="77777777" w:rsidR="00457381" w:rsidRPr="008E53EC" w:rsidRDefault="00457381" w:rsidP="00457381">
      <w:pPr>
        <w:rPr>
          <w:sz w:val="22"/>
          <w:szCs w:val="22"/>
        </w:rPr>
      </w:pPr>
    </w:p>
    <w:p w14:paraId="54DE3B1F" w14:textId="107778D5" w:rsidR="008838FC" w:rsidRPr="00413650" w:rsidRDefault="008838FC" w:rsidP="008838FC">
      <w:pPr>
        <w:pStyle w:val="Listenabsatz"/>
        <w:numPr>
          <w:ilvl w:val="0"/>
          <w:numId w:val="2"/>
        </w:numPr>
        <w:rPr>
          <w:b/>
          <w:bCs/>
          <w:sz w:val="24"/>
          <w:szCs w:val="24"/>
        </w:rPr>
      </w:pPr>
      <w:r w:rsidRPr="00413650">
        <w:rPr>
          <w:b/>
          <w:bCs/>
          <w:sz w:val="24"/>
          <w:szCs w:val="24"/>
        </w:rPr>
        <w:t>Grenzwert für allg. Bevölkerung für Exposition durch technische Anwendungen?</w:t>
      </w:r>
    </w:p>
    <w:p w14:paraId="44DA2E9C" w14:textId="4477EBA8" w:rsidR="008838FC" w:rsidRDefault="00D329C7" w:rsidP="009F54CA">
      <w:pPr>
        <w:ind w:left="426" w:firstLine="360"/>
      </w:pPr>
      <w:r>
        <w:t xml:space="preserve">1 </w:t>
      </w:r>
      <w:proofErr w:type="spellStart"/>
      <w:r>
        <w:t>mSv</w:t>
      </w:r>
      <w:proofErr w:type="spellEnd"/>
      <w:r>
        <w:t xml:space="preserve"> pro Jahr mit 1 a = 8760 h</w:t>
      </w:r>
    </w:p>
    <w:p w14:paraId="3C370E2F" w14:textId="77777777" w:rsidR="005A7AEA" w:rsidRPr="008E53EC" w:rsidRDefault="005A7AEA" w:rsidP="009F54CA">
      <w:pPr>
        <w:ind w:left="426" w:firstLine="360"/>
        <w:rPr>
          <w:sz w:val="22"/>
          <w:szCs w:val="22"/>
        </w:rPr>
      </w:pPr>
    </w:p>
    <w:p w14:paraId="526341A5" w14:textId="7BC9C2DD" w:rsidR="008838FC" w:rsidRPr="00413650" w:rsidRDefault="008838FC" w:rsidP="008838FC">
      <w:pPr>
        <w:pStyle w:val="Listenabsatz"/>
        <w:numPr>
          <w:ilvl w:val="0"/>
          <w:numId w:val="2"/>
        </w:numPr>
        <w:rPr>
          <w:b/>
          <w:bCs/>
          <w:sz w:val="24"/>
          <w:szCs w:val="24"/>
        </w:rPr>
      </w:pPr>
      <w:r w:rsidRPr="00413650">
        <w:rPr>
          <w:b/>
          <w:bCs/>
          <w:sz w:val="24"/>
          <w:szCs w:val="24"/>
        </w:rPr>
        <w:t>Was sind die zwei Hauptwechselwirkungen von Elektronen</w:t>
      </w:r>
    </w:p>
    <w:p w14:paraId="3479A1DE" w14:textId="387C5C2F" w:rsidR="008838FC" w:rsidRDefault="00277DD5" w:rsidP="00277DD5">
      <w:pPr>
        <w:ind w:left="708"/>
      </w:pPr>
      <w:r>
        <w:t>Stoß- und Strahlungsbremsung</w:t>
      </w:r>
    </w:p>
    <w:p w14:paraId="5EE5C77B" w14:textId="77777777" w:rsidR="005A7AEA" w:rsidRPr="008E53EC" w:rsidRDefault="005A7AEA" w:rsidP="00277DD5">
      <w:pPr>
        <w:ind w:left="708"/>
        <w:rPr>
          <w:sz w:val="22"/>
          <w:szCs w:val="22"/>
        </w:rPr>
      </w:pPr>
    </w:p>
    <w:p w14:paraId="7F6CB314" w14:textId="48D82B5C" w:rsidR="008838FC" w:rsidRPr="00413650" w:rsidRDefault="008838FC" w:rsidP="008838FC">
      <w:pPr>
        <w:pStyle w:val="Listenabsatz"/>
        <w:numPr>
          <w:ilvl w:val="0"/>
          <w:numId w:val="2"/>
        </w:numPr>
        <w:rPr>
          <w:b/>
          <w:bCs/>
          <w:sz w:val="24"/>
          <w:szCs w:val="24"/>
        </w:rPr>
      </w:pPr>
      <w:r w:rsidRPr="00413650">
        <w:rPr>
          <w:b/>
          <w:bCs/>
          <w:sz w:val="24"/>
          <w:szCs w:val="24"/>
        </w:rPr>
        <w:t>Spielt es eine Rolle, ob der Tiefendosisverlauf von unten nach oben oder oben nach unten gemessen wird. Wenn ja, warum?</w:t>
      </w:r>
    </w:p>
    <w:p w14:paraId="44275044" w14:textId="060BB464" w:rsidR="008838FC" w:rsidRDefault="00F36614" w:rsidP="001A4009">
      <w:pPr>
        <w:ind w:left="708"/>
      </w:pPr>
      <w:r>
        <w:t xml:space="preserve">Ja, je nach Messrichtung unterscheiden sich die Messkurven, speziell im Bereich vor dem Dosismaximum. </w:t>
      </w:r>
      <w:r w:rsidR="001A4009">
        <w:t>Die Ursache für die Abweichungen ist die Oberflächenspannung des Wassers, die besonders stark ist, wenn die Messung in der oberen Position beginnt. Obwohl sich die Messkammer kontinuierlich nach unten bewegt, fließt das Wasser erst mit einem Versatz nach, was zu Wellenbildung und einer abweichenden Tiefendosis führt.</w:t>
      </w:r>
    </w:p>
    <w:p w14:paraId="55E86A28" w14:textId="77777777" w:rsidR="005A7AEA" w:rsidRPr="008E53EC" w:rsidRDefault="005A7AEA" w:rsidP="001A4009">
      <w:pPr>
        <w:ind w:left="708"/>
        <w:rPr>
          <w:sz w:val="22"/>
          <w:szCs w:val="22"/>
        </w:rPr>
      </w:pPr>
    </w:p>
    <w:p w14:paraId="2804330D" w14:textId="2A7F34D8" w:rsidR="008838FC" w:rsidRPr="00457381" w:rsidRDefault="008838FC" w:rsidP="008838FC">
      <w:pPr>
        <w:pStyle w:val="Listenabsatz"/>
        <w:numPr>
          <w:ilvl w:val="0"/>
          <w:numId w:val="2"/>
        </w:numPr>
        <w:rPr>
          <w:b/>
          <w:bCs/>
          <w:sz w:val="24"/>
          <w:szCs w:val="24"/>
        </w:rPr>
      </w:pPr>
      <w:r w:rsidRPr="00413650">
        <w:rPr>
          <w:b/>
          <w:bCs/>
          <w:sz w:val="24"/>
          <w:szCs w:val="24"/>
        </w:rPr>
        <w:t xml:space="preserve">Im Abstand von 100 cm und in einer Tiefe von 8 cm soll mit einer bestimmten Dosis bestrahl werden. Dafür wird eine bekannte Anzahl Monitoreinheiten benötigt. Berechne die Monitoreinheiten/ </w:t>
      </w:r>
      <w:r w:rsidR="0093226D" w:rsidRPr="00413650">
        <w:rPr>
          <w:b/>
          <w:bCs/>
          <w:sz w:val="24"/>
          <w:szCs w:val="24"/>
        </w:rPr>
        <w:t xml:space="preserve">den </w:t>
      </w:r>
      <w:r w:rsidRPr="00413650">
        <w:rPr>
          <w:b/>
          <w:bCs/>
          <w:sz w:val="24"/>
          <w:szCs w:val="24"/>
        </w:rPr>
        <w:t xml:space="preserve">Dosisfaktor, </w:t>
      </w:r>
      <w:r w:rsidR="0093226D" w:rsidRPr="00413650">
        <w:rPr>
          <w:b/>
          <w:bCs/>
          <w:sz w:val="24"/>
          <w:szCs w:val="24"/>
        </w:rPr>
        <w:t xml:space="preserve">der bei einem Fokus-Haut-Abstand von 110 cm benötigt wird, </w:t>
      </w:r>
      <w:r w:rsidRPr="00413650">
        <w:rPr>
          <w:b/>
          <w:bCs/>
          <w:sz w:val="24"/>
          <w:szCs w:val="24"/>
        </w:rPr>
        <w:t>um die g</w:t>
      </w:r>
      <w:r w:rsidR="0093226D" w:rsidRPr="00413650">
        <w:rPr>
          <w:b/>
          <w:bCs/>
          <w:sz w:val="24"/>
          <w:szCs w:val="24"/>
        </w:rPr>
        <w:t>leiche Dosis zu applizieren.</w:t>
      </w:r>
      <w:r w:rsidR="0093226D" w:rsidRPr="00457381">
        <w:rPr>
          <w:b/>
          <w:bCs/>
          <w:sz w:val="24"/>
          <w:szCs w:val="24"/>
        </w:rPr>
        <w:t xml:space="preserve"> </w:t>
      </w:r>
    </w:p>
    <w:p w14:paraId="3F2ECD04" w14:textId="79B8AC35" w:rsidR="00D57900" w:rsidRDefault="00216D3D" w:rsidP="00D57900">
      <w:pPr>
        <w:pStyle w:val="Listenabsatz"/>
        <w:rPr>
          <w:rFonts w:eastAsiaTheme="minorEastAsia"/>
          <w:sz w:val="24"/>
          <w:szCs w:val="24"/>
        </w:rPr>
      </w:pPr>
      <w:r w:rsidRPr="00216D3D">
        <w:rPr>
          <w:sz w:val="24"/>
          <w:szCs w:val="24"/>
        </w:rPr>
        <w:t>Zur</w:t>
      </w:r>
      <w:r>
        <w:rPr>
          <w:sz w:val="24"/>
          <w:szCs w:val="24"/>
        </w:rPr>
        <w:t xml:space="preserve"> Berechnung wird das Abstands-Quadrat-Gesetz angewendet: </w:t>
      </w:r>
      <m:oMath>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1</m:t>
                </m:r>
              </m:sub>
            </m:sSub>
          </m:num>
          <m:den>
            <m:sSub>
              <m:sSubPr>
                <m:ctrlPr>
                  <w:rPr>
                    <w:rFonts w:ascii="Cambria Math" w:hAnsi="Cambria Math"/>
                    <w:i/>
                    <w:sz w:val="24"/>
                    <w:szCs w:val="24"/>
                  </w:rPr>
                </m:ctrlPr>
              </m:sSubPr>
              <m:e>
                <m:r>
                  <w:rPr>
                    <w:rFonts w:ascii="Cambria Math" w:hAnsi="Cambria Math"/>
                    <w:sz w:val="24"/>
                    <w:szCs w:val="24"/>
                  </w:rPr>
                  <m:t>D</m:t>
                </m:r>
              </m:e>
              <m:sub>
                <m:r>
                  <w:rPr>
                    <w:rFonts w:ascii="Cambria Math" w:hAnsi="Cambria Math"/>
                    <w:sz w:val="24"/>
                    <w:szCs w:val="24"/>
                  </w:rPr>
                  <m:t>2</m:t>
                </m:r>
              </m:sub>
            </m:sSub>
          </m:den>
        </m:f>
        <m:r>
          <w:rPr>
            <w:rFonts w:ascii="Cambria Math" w:hAnsi="Cambria Math"/>
            <w:sz w:val="24"/>
            <w:szCs w:val="24"/>
          </w:rPr>
          <m:t>=</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2</m:t>
                </m:r>
              </m:sub>
            </m:sSub>
          </m:num>
          <m:den>
            <m:sSub>
              <m:sSubPr>
                <m:ctrlPr>
                  <w:rPr>
                    <w:rFonts w:ascii="Cambria Math" w:hAnsi="Cambria Math"/>
                    <w:i/>
                    <w:sz w:val="24"/>
                    <w:szCs w:val="24"/>
                  </w:rPr>
                </m:ctrlPr>
              </m:sSubPr>
              <m:e>
                <m:r>
                  <w:rPr>
                    <w:rFonts w:ascii="Cambria Math" w:hAnsi="Cambria Math"/>
                    <w:sz w:val="24"/>
                    <w:szCs w:val="24"/>
                  </w:rPr>
                  <m:t>r</m:t>
                </m:r>
              </m:e>
              <m:sub>
                <m:r>
                  <w:rPr>
                    <w:rFonts w:ascii="Cambria Math" w:hAnsi="Cambria Math"/>
                    <w:sz w:val="24"/>
                    <w:szCs w:val="24"/>
                  </w:rPr>
                  <m:t>1</m:t>
                </m:r>
              </m:sub>
            </m:sSub>
          </m:den>
        </m:f>
      </m:oMath>
    </w:p>
    <w:p w14:paraId="1949358D" w14:textId="41ED70BE" w:rsidR="005E0948" w:rsidRDefault="005E0948" w:rsidP="005E0948">
      <w:pPr>
        <w:pStyle w:val="Listenabsatz"/>
        <w:rPr>
          <w:rFonts w:eastAsiaTheme="minorEastAsia"/>
          <w:sz w:val="24"/>
          <w:szCs w:val="24"/>
        </w:rPr>
      </w:pPr>
      <w:r>
        <w:rPr>
          <w:rFonts w:eastAsiaTheme="minorEastAsia"/>
          <w:sz w:val="24"/>
          <w:szCs w:val="24"/>
        </w:rPr>
        <w:t>Zu beachten ist hier, dass für r sowohl die Messtiefe als auch der Fokus-Haut-Abstand</w:t>
      </w:r>
      <w:r w:rsidR="008E53EC">
        <w:rPr>
          <w:rFonts w:eastAsiaTheme="minorEastAsia"/>
          <w:sz w:val="24"/>
          <w:szCs w:val="24"/>
        </w:rPr>
        <w:t xml:space="preserve"> (FHA)</w:t>
      </w:r>
      <w:r>
        <w:rPr>
          <w:rFonts w:eastAsiaTheme="minorEastAsia"/>
          <w:sz w:val="24"/>
          <w:szCs w:val="24"/>
        </w:rPr>
        <w:t xml:space="preserve"> mitberücksichtigt werden muss</w:t>
      </w:r>
      <w:r w:rsidR="001F0999">
        <w:rPr>
          <w:rFonts w:eastAsiaTheme="minorEastAsia"/>
          <w:sz w:val="24"/>
          <w:szCs w:val="24"/>
        </w:rPr>
        <w:t>.</w:t>
      </w:r>
    </w:p>
    <w:p w14:paraId="1D262EB0" w14:textId="329FC0F0" w:rsidR="005E0948" w:rsidRPr="005E0948" w:rsidRDefault="008E53EC" w:rsidP="005E0948">
      <w:pPr>
        <w:pStyle w:val="Listenabsatz"/>
        <w:rPr>
          <w:rFonts w:eastAsiaTheme="minorEastAsia"/>
          <w:sz w:val="24"/>
          <w:szCs w:val="24"/>
        </w:rPr>
      </w:pPr>
      <w:r>
        <w:rPr>
          <w:rFonts w:eastAsiaTheme="minorEastAsia"/>
          <w:sz w:val="24"/>
          <w:szCs w:val="24"/>
        </w:rPr>
        <w:t>Der Dosisfaktor muss 1,19 betragen, damit bei einem FHA von 110 cm die gleiche Dosis appliziert wird</w:t>
      </w:r>
    </w:p>
    <w:p w14:paraId="6D1AFB7D" w14:textId="606D6C9F" w:rsidR="00D57900" w:rsidRPr="00413650" w:rsidRDefault="00D57900" w:rsidP="00EE7E86">
      <w:pPr>
        <w:pStyle w:val="Listenabsatz"/>
        <w:numPr>
          <w:ilvl w:val="0"/>
          <w:numId w:val="2"/>
        </w:numPr>
        <w:rPr>
          <w:b/>
          <w:bCs/>
          <w:sz w:val="24"/>
          <w:szCs w:val="24"/>
        </w:rPr>
      </w:pPr>
      <w:r w:rsidRPr="00413650">
        <w:rPr>
          <w:b/>
          <w:bCs/>
          <w:sz w:val="24"/>
          <w:szCs w:val="24"/>
        </w:rPr>
        <w:lastRenderedPageBreak/>
        <w:t xml:space="preserve">Warum spielt </w:t>
      </w:r>
      <w:r w:rsidR="00EE7E86" w:rsidRPr="00413650">
        <w:rPr>
          <w:b/>
          <w:bCs/>
          <w:sz w:val="24"/>
          <w:szCs w:val="24"/>
        </w:rPr>
        <w:t>die Größe der Kammer bei Querprofilen eine Rolle und für welchen Parameter ist sie egal?</w:t>
      </w:r>
    </w:p>
    <w:p w14:paraId="019A6C67" w14:textId="3111A815" w:rsidR="00841267" w:rsidRDefault="00841267" w:rsidP="00457381">
      <w:pPr>
        <w:ind w:left="708"/>
      </w:pPr>
      <w:r>
        <w:t>Je größer die Kammer. Desto größer der Volumeneffekt und umso breiter ist der Halbschatten beziehungsweise desto flacher sind die Flanken des Dosisquerprofils.</w:t>
      </w:r>
    </w:p>
    <w:p w14:paraId="4A815425" w14:textId="6C0B1E68" w:rsidR="008838FC" w:rsidRDefault="00101362" w:rsidP="00457381">
      <w:pPr>
        <w:ind w:left="708"/>
      </w:pPr>
      <w:r>
        <w:t>Das Messvolumen der Kammer hat keinen Einfluss auf die Breite des Dosisquerprofils bei 50%</w:t>
      </w:r>
      <w:r w:rsidR="00841267">
        <w:t xml:space="preserve"> der maximalen Dosis.</w:t>
      </w:r>
    </w:p>
    <w:p w14:paraId="2AF0BA51" w14:textId="70289123" w:rsidR="008838FC" w:rsidRPr="008838FC" w:rsidRDefault="008838FC" w:rsidP="008838FC">
      <w:pPr>
        <w:spacing w:after="0"/>
      </w:pPr>
    </w:p>
    <w:p w14:paraId="5F54D224" w14:textId="540E949B" w:rsidR="008838FC" w:rsidRPr="008838FC" w:rsidRDefault="008838FC" w:rsidP="008838FC">
      <w:pPr>
        <w:spacing w:after="0"/>
      </w:pPr>
    </w:p>
    <w:p w14:paraId="4E67DCDE" w14:textId="01911355" w:rsidR="008838FC" w:rsidRPr="008838FC" w:rsidRDefault="008838FC" w:rsidP="008838FC">
      <w:pPr>
        <w:spacing w:after="0"/>
      </w:pPr>
    </w:p>
    <w:p w14:paraId="359F5FD3" w14:textId="3E2BE11E" w:rsidR="008838FC" w:rsidRPr="008838FC" w:rsidRDefault="008838FC" w:rsidP="008838FC">
      <w:pPr>
        <w:spacing w:after="0"/>
      </w:pPr>
    </w:p>
    <w:p w14:paraId="34681B6F" w14:textId="18F13B82" w:rsidR="008838FC" w:rsidRPr="008838FC" w:rsidRDefault="008838FC" w:rsidP="008838FC">
      <w:pPr>
        <w:spacing w:after="0"/>
      </w:pPr>
    </w:p>
    <w:p w14:paraId="798496F5" w14:textId="6EA01FB3" w:rsidR="008838FC" w:rsidRPr="008838FC" w:rsidRDefault="008838FC" w:rsidP="008838FC">
      <w:pPr>
        <w:spacing w:after="0"/>
      </w:pPr>
    </w:p>
    <w:p w14:paraId="0FED090C" w14:textId="1380BDF2" w:rsidR="008838FC" w:rsidRPr="008838FC" w:rsidRDefault="008838FC" w:rsidP="008838FC">
      <w:pPr>
        <w:spacing w:after="0"/>
      </w:pPr>
    </w:p>
    <w:p w14:paraId="4D03A350" w14:textId="1F9D08F5" w:rsidR="008838FC" w:rsidRPr="008838FC" w:rsidRDefault="008838FC" w:rsidP="008838FC">
      <w:pPr>
        <w:spacing w:after="0"/>
      </w:pPr>
    </w:p>
    <w:p w14:paraId="666D7120" w14:textId="77777777" w:rsidR="008838FC" w:rsidRPr="008838FC" w:rsidRDefault="008838FC" w:rsidP="008838FC">
      <w:pPr>
        <w:spacing w:after="0"/>
      </w:pPr>
    </w:p>
    <w:sectPr w:rsidR="008838FC" w:rsidRPr="008838FC">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A26F01" w14:textId="77777777" w:rsidR="00AB2AFB" w:rsidRDefault="00AB2AFB" w:rsidP="0093226D">
      <w:pPr>
        <w:spacing w:after="0" w:line="240" w:lineRule="auto"/>
      </w:pPr>
      <w:r>
        <w:separator/>
      </w:r>
    </w:p>
  </w:endnote>
  <w:endnote w:type="continuationSeparator" w:id="0">
    <w:p w14:paraId="0FDF685A" w14:textId="77777777" w:rsidR="00AB2AFB" w:rsidRDefault="00AB2AFB" w:rsidP="0093226D">
      <w:pPr>
        <w:spacing w:after="0" w:line="240" w:lineRule="auto"/>
      </w:pPr>
      <w:r>
        <w:continuationSeparator/>
      </w:r>
    </w:p>
  </w:endnote>
  <w:endnote w:type="continuationNotice" w:id="1">
    <w:p w14:paraId="54B0E41D" w14:textId="77777777" w:rsidR="00AB2AFB" w:rsidRDefault="00AB2A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073A61" w14:textId="77777777" w:rsidR="00AB2AFB" w:rsidRDefault="00AB2AFB" w:rsidP="0093226D">
      <w:pPr>
        <w:spacing w:after="0" w:line="240" w:lineRule="auto"/>
      </w:pPr>
      <w:r>
        <w:separator/>
      </w:r>
    </w:p>
  </w:footnote>
  <w:footnote w:type="continuationSeparator" w:id="0">
    <w:p w14:paraId="1F61D267" w14:textId="77777777" w:rsidR="00AB2AFB" w:rsidRDefault="00AB2AFB" w:rsidP="0093226D">
      <w:pPr>
        <w:spacing w:after="0" w:line="240" w:lineRule="auto"/>
      </w:pPr>
      <w:r>
        <w:continuationSeparator/>
      </w:r>
    </w:p>
  </w:footnote>
  <w:footnote w:type="continuationNotice" w:id="1">
    <w:p w14:paraId="2B038219" w14:textId="77777777" w:rsidR="00AB2AFB" w:rsidRDefault="00AB2A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26E16" w14:textId="02F57D74" w:rsidR="0093226D" w:rsidRDefault="0093226D" w:rsidP="0093226D">
    <w:pPr>
      <w:pStyle w:val="Kopfzeile"/>
    </w:pPr>
    <w:r>
      <w:t xml:space="preserve">Medizinische Strahlenwissenschaften </w:t>
    </w:r>
    <w:r>
      <w:tab/>
    </w:r>
    <w:r>
      <w:tab/>
      <w:t>Jahrgang WS2020/2021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53657B"/>
    <w:multiLevelType w:val="hybridMultilevel"/>
    <w:tmpl w:val="38B24F4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1CA60E7"/>
    <w:multiLevelType w:val="hybridMultilevel"/>
    <w:tmpl w:val="FB745A1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8A520DD"/>
    <w:multiLevelType w:val="hybridMultilevel"/>
    <w:tmpl w:val="CA0255A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8FC"/>
    <w:rsid w:val="00034160"/>
    <w:rsid w:val="00035282"/>
    <w:rsid w:val="000615C6"/>
    <w:rsid w:val="00087F71"/>
    <w:rsid w:val="000A289B"/>
    <w:rsid w:val="000C730F"/>
    <w:rsid w:val="000E011E"/>
    <w:rsid w:val="000E3351"/>
    <w:rsid w:val="00101362"/>
    <w:rsid w:val="001078CE"/>
    <w:rsid w:val="00190BBC"/>
    <w:rsid w:val="001A4009"/>
    <w:rsid w:val="001D4A8A"/>
    <w:rsid w:val="001E770A"/>
    <w:rsid w:val="001F0999"/>
    <w:rsid w:val="00202488"/>
    <w:rsid w:val="00216D3D"/>
    <w:rsid w:val="0025654B"/>
    <w:rsid w:val="00277DD5"/>
    <w:rsid w:val="00315FA3"/>
    <w:rsid w:val="003C6A5D"/>
    <w:rsid w:val="003D2C21"/>
    <w:rsid w:val="00400CA7"/>
    <w:rsid w:val="00413650"/>
    <w:rsid w:val="00421E45"/>
    <w:rsid w:val="004429E6"/>
    <w:rsid w:val="00457381"/>
    <w:rsid w:val="004804D4"/>
    <w:rsid w:val="005039ED"/>
    <w:rsid w:val="00520BFB"/>
    <w:rsid w:val="00550861"/>
    <w:rsid w:val="00553897"/>
    <w:rsid w:val="00590C41"/>
    <w:rsid w:val="005A7AEA"/>
    <w:rsid w:val="005E0948"/>
    <w:rsid w:val="00642F65"/>
    <w:rsid w:val="00691C9E"/>
    <w:rsid w:val="006F1308"/>
    <w:rsid w:val="0072446B"/>
    <w:rsid w:val="007808CF"/>
    <w:rsid w:val="007D1BD6"/>
    <w:rsid w:val="00825C71"/>
    <w:rsid w:val="00841267"/>
    <w:rsid w:val="008543C6"/>
    <w:rsid w:val="00873286"/>
    <w:rsid w:val="00875E36"/>
    <w:rsid w:val="008838FC"/>
    <w:rsid w:val="008E53EC"/>
    <w:rsid w:val="0092301A"/>
    <w:rsid w:val="0093226D"/>
    <w:rsid w:val="009655F9"/>
    <w:rsid w:val="009F54CA"/>
    <w:rsid w:val="00A83FCB"/>
    <w:rsid w:val="00A90488"/>
    <w:rsid w:val="00AB2AFB"/>
    <w:rsid w:val="00B4245A"/>
    <w:rsid w:val="00B86A1B"/>
    <w:rsid w:val="00BB75E3"/>
    <w:rsid w:val="00C30D2C"/>
    <w:rsid w:val="00D329C7"/>
    <w:rsid w:val="00D36D76"/>
    <w:rsid w:val="00D57900"/>
    <w:rsid w:val="00D951F4"/>
    <w:rsid w:val="00D95E77"/>
    <w:rsid w:val="00DE6139"/>
    <w:rsid w:val="00E1213B"/>
    <w:rsid w:val="00E12814"/>
    <w:rsid w:val="00E26867"/>
    <w:rsid w:val="00E26C7F"/>
    <w:rsid w:val="00E8484F"/>
    <w:rsid w:val="00ED3AE1"/>
    <w:rsid w:val="00EE7E86"/>
    <w:rsid w:val="00F36614"/>
    <w:rsid w:val="00F6613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CF796"/>
  <w15:chartTrackingRefBased/>
  <w15:docId w15:val="{12C1F062-B3AB-47DA-9E94-AA19CEF93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883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8838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8838FC"/>
    <w:rPr>
      <w:rFonts w:asciiTheme="majorHAnsi" w:eastAsiaTheme="majorEastAsia" w:hAnsiTheme="majorHAnsi" w:cstheme="majorBidi"/>
      <w:spacing w:val="-10"/>
      <w:kern w:val="28"/>
      <w:sz w:val="56"/>
      <w:szCs w:val="56"/>
    </w:rPr>
  </w:style>
  <w:style w:type="character" w:customStyle="1" w:styleId="berschrift1Zchn">
    <w:name w:val="Überschrift 1 Zchn"/>
    <w:basedOn w:val="Absatz-Standardschriftart"/>
    <w:link w:val="berschrift1"/>
    <w:uiPriority w:val="9"/>
    <w:rsid w:val="008838FC"/>
    <w:rPr>
      <w:rFonts w:asciiTheme="majorHAnsi" w:eastAsiaTheme="majorEastAsia" w:hAnsiTheme="majorHAnsi" w:cstheme="majorBidi"/>
      <w:color w:val="2F5496" w:themeColor="accent1" w:themeShade="BF"/>
      <w:sz w:val="32"/>
      <w:szCs w:val="32"/>
    </w:rPr>
  </w:style>
  <w:style w:type="paragraph" w:styleId="Listenabsatz">
    <w:name w:val="List Paragraph"/>
    <w:basedOn w:val="Standard"/>
    <w:uiPriority w:val="34"/>
    <w:qFormat/>
    <w:rsid w:val="008838FC"/>
    <w:pPr>
      <w:ind w:left="720"/>
      <w:contextualSpacing/>
    </w:pPr>
    <w:rPr>
      <w:sz w:val="22"/>
      <w:szCs w:val="22"/>
    </w:rPr>
  </w:style>
  <w:style w:type="paragraph" w:styleId="Kopfzeile">
    <w:name w:val="header"/>
    <w:basedOn w:val="Standard"/>
    <w:link w:val="KopfzeileZchn"/>
    <w:uiPriority w:val="99"/>
    <w:unhideWhenUsed/>
    <w:rsid w:val="0093226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3226D"/>
  </w:style>
  <w:style w:type="paragraph" w:styleId="Fuzeile">
    <w:name w:val="footer"/>
    <w:basedOn w:val="Standard"/>
    <w:link w:val="FuzeileZchn"/>
    <w:uiPriority w:val="99"/>
    <w:unhideWhenUsed/>
    <w:rsid w:val="0093226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3226D"/>
  </w:style>
  <w:style w:type="character" w:styleId="Platzhaltertext">
    <w:name w:val="Placeholder Text"/>
    <w:basedOn w:val="Absatz-Standardschriftart"/>
    <w:uiPriority w:val="99"/>
    <w:semiHidden/>
    <w:rsid w:val="007808C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809</Words>
  <Characters>5098</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Schmidt</dc:creator>
  <cp:keywords/>
  <dc:description/>
  <cp:lastModifiedBy>Stefan Schmidt</cp:lastModifiedBy>
  <cp:revision>64</cp:revision>
  <dcterms:created xsi:type="dcterms:W3CDTF">2020-12-06T21:13:00Z</dcterms:created>
  <dcterms:modified xsi:type="dcterms:W3CDTF">2021-02-14T17:47:00Z</dcterms:modified>
</cp:coreProperties>
</file>