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EB5CE" w14:textId="40249021" w:rsidR="00B3489C" w:rsidRDefault="00A74618" w:rsidP="00A74618">
      <w:pPr>
        <w:pStyle w:val="Titel"/>
      </w:pPr>
      <w:r>
        <w:t>Prüfungsprotokolle Dosimetrie</w:t>
      </w:r>
    </w:p>
    <w:p w14:paraId="1B5182CF" w14:textId="77777777" w:rsidR="00B3489C" w:rsidRDefault="00B3489C" w:rsidP="00B3489C">
      <w:pPr>
        <w:pStyle w:val="Default"/>
      </w:pPr>
    </w:p>
    <w:p w14:paraId="21140E1A" w14:textId="77777777" w:rsidR="00B3489C" w:rsidRDefault="00B3489C" w:rsidP="00B3489C">
      <w:pPr>
        <w:pStyle w:val="Default"/>
      </w:pPr>
      <w:r>
        <w:t xml:space="preserve"> </w:t>
      </w:r>
    </w:p>
    <w:p w14:paraId="1E9FBF16" w14:textId="16E3992B" w:rsidR="00BC09B6" w:rsidRDefault="00B3489C" w:rsidP="00A167D7">
      <w:pPr>
        <w:pStyle w:val="Listenabsatz"/>
        <w:numPr>
          <w:ilvl w:val="0"/>
          <w:numId w:val="2"/>
        </w:numPr>
        <w:rPr>
          <w:b/>
          <w:bCs/>
        </w:rPr>
      </w:pPr>
      <w:r w:rsidRPr="00204864">
        <w:rPr>
          <w:b/>
          <w:bCs/>
        </w:rPr>
        <w:t xml:space="preserve">Welche Bedeutung hat das Massenstoß-Bremsvermögensverhältnis Wasser zu Luft für die Dosimetrie mit luftgefüllten Ionisationskammern? Bräuchte man diese Größe auch bei einer wassergefüllten Ionisationskammer? </w:t>
      </w:r>
      <w:r w:rsidR="00204864">
        <w:t>Dieses V</w:t>
      </w:r>
      <w:r w:rsidR="00EA561B">
        <w:t>erhältnis</w:t>
      </w:r>
      <w:r w:rsidR="00204864">
        <w:t xml:space="preserve"> wird sowohl bei der Dosimetrie von Photonenstrahlung als auch bei Elektronenstrahlung verwendet. Was ist der Unterschied hierbei bei den beiden Strahlungsarten? </w:t>
      </w:r>
      <w:r w:rsidRPr="00204864">
        <w:rPr>
          <w:b/>
          <w:bCs/>
        </w:rPr>
        <w:t>Beschreibe und begründe jeweils kurz</w:t>
      </w:r>
      <w:r w:rsidR="00204864">
        <w:rPr>
          <w:b/>
          <w:bCs/>
        </w:rPr>
        <w:t>.</w:t>
      </w:r>
    </w:p>
    <w:p w14:paraId="42CB24BF" w14:textId="064D95B2" w:rsidR="00A167D7" w:rsidRDefault="00A167D7" w:rsidP="00A167D7">
      <w:pPr>
        <w:pStyle w:val="Listenabsatz"/>
        <w:rPr>
          <w:b/>
          <w:bCs/>
        </w:rPr>
      </w:pPr>
    </w:p>
    <w:p w14:paraId="69748D20" w14:textId="3D22EC2E" w:rsidR="00A167D7" w:rsidRDefault="00B5536D" w:rsidP="00A167D7">
      <w:pPr>
        <w:pStyle w:val="Listenabsatz"/>
        <w:rPr>
          <w:i/>
          <w:iCs/>
          <w:color w:val="FF0000"/>
        </w:rPr>
      </w:pPr>
      <w:r>
        <w:rPr>
          <w:i/>
          <w:iCs/>
          <w:color w:val="FF0000"/>
        </w:rPr>
        <w:t xml:space="preserve">Mit einer luftgefüllten Ionisationskammer wird die </w:t>
      </w:r>
      <w:r w:rsidR="00192F32">
        <w:rPr>
          <w:i/>
          <w:iCs/>
          <w:color w:val="FF0000"/>
        </w:rPr>
        <w:t>Ionen</w:t>
      </w:r>
      <w:r>
        <w:rPr>
          <w:i/>
          <w:iCs/>
          <w:color w:val="FF0000"/>
        </w:rPr>
        <w:t xml:space="preserve">dosis gemessen. Um auf die </w:t>
      </w:r>
      <w:r w:rsidR="0088229D">
        <w:rPr>
          <w:i/>
          <w:iCs/>
          <w:color w:val="FF0000"/>
        </w:rPr>
        <w:t xml:space="preserve">angepeilte Wasser-Energiedosis schließen zu können, muss mithilfe </w:t>
      </w:r>
      <w:r w:rsidR="00805E22">
        <w:rPr>
          <w:i/>
          <w:iCs/>
          <w:color w:val="FF0000"/>
        </w:rPr>
        <w:t>des Massenstoß-Bremsvermögens</w:t>
      </w:r>
      <w:r w:rsidR="00C35E80">
        <w:rPr>
          <w:i/>
          <w:iCs/>
          <w:color w:val="FF0000"/>
        </w:rPr>
        <w:t>verhältnis</w:t>
      </w:r>
      <w:r w:rsidR="00805E22">
        <w:rPr>
          <w:i/>
          <w:iCs/>
          <w:color w:val="FF0000"/>
        </w:rPr>
        <w:t xml:space="preserve"> umgerechnet werden. </w:t>
      </w:r>
      <w:r w:rsidR="00C13EF2">
        <w:rPr>
          <w:i/>
          <w:iCs/>
          <w:color w:val="FF0000"/>
        </w:rPr>
        <w:t xml:space="preserve">Bei einer wassergefüllten Ionisationskammer würde die </w:t>
      </w:r>
      <w:r w:rsidR="00040C57">
        <w:rPr>
          <w:i/>
          <w:iCs/>
          <w:color w:val="FF0000"/>
        </w:rPr>
        <w:t xml:space="preserve">Wasser-Energiedosis direkt gemessen. </w:t>
      </w:r>
    </w:p>
    <w:p w14:paraId="7FCB85DC" w14:textId="35927DCF" w:rsidR="00D13703" w:rsidRPr="00973560" w:rsidRDefault="00D13703" w:rsidP="00A167D7">
      <w:pPr>
        <w:pStyle w:val="Listenabsatz"/>
        <w:rPr>
          <w:i/>
          <w:iCs/>
          <w:color w:val="FF0000"/>
        </w:rPr>
      </w:pPr>
      <w:r>
        <w:rPr>
          <w:i/>
          <w:iCs/>
          <w:color w:val="FF0000"/>
        </w:rPr>
        <w:t xml:space="preserve">Der Unterschied ist, dass durch die begrenzte Reichweite </w:t>
      </w:r>
      <w:r w:rsidR="00493C7E">
        <w:rPr>
          <w:i/>
          <w:iCs/>
          <w:color w:val="FF0000"/>
        </w:rPr>
        <w:t>und die damit verbundene Energieabnahme sich bei den Elektronen auch das Massenstoß-Bremsvermögensverhältnis</w:t>
      </w:r>
      <w:r w:rsidR="00B242CB">
        <w:rPr>
          <w:i/>
          <w:iCs/>
          <w:color w:val="FF0000"/>
        </w:rPr>
        <w:t xml:space="preserve"> Wasser zu Luft </w:t>
      </w:r>
      <w:r w:rsidR="00A87058">
        <w:rPr>
          <w:i/>
          <w:iCs/>
          <w:color w:val="FF0000"/>
        </w:rPr>
        <w:t xml:space="preserve">entlang der Tiefe </w:t>
      </w:r>
      <w:r w:rsidR="00B242CB">
        <w:rPr>
          <w:i/>
          <w:iCs/>
          <w:color w:val="FF0000"/>
        </w:rPr>
        <w:t xml:space="preserve">ändert. </w:t>
      </w:r>
      <w:r w:rsidR="00F2344D">
        <w:rPr>
          <w:i/>
          <w:iCs/>
          <w:color w:val="FF0000"/>
        </w:rPr>
        <w:t>Bei Photonen wird für jede Messtiefe dasselbe Massenstoß-Bremsvermögensverhältnis verwendet</w:t>
      </w:r>
      <w:r w:rsidR="00E6093A">
        <w:rPr>
          <w:i/>
          <w:iCs/>
          <w:color w:val="FF0000"/>
        </w:rPr>
        <w:t xml:space="preserve">. </w:t>
      </w:r>
      <w:r w:rsidR="002E7807">
        <w:rPr>
          <w:i/>
          <w:iCs/>
          <w:color w:val="FF0000"/>
        </w:rPr>
        <w:t>Dies wird in der Definition der Strahlenqualität berücksichtigenden Korrektionsfaktoren k</w:t>
      </w:r>
      <w:r w:rsidR="002E7807">
        <w:rPr>
          <w:i/>
          <w:iCs/>
          <w:color w:val="FF0000"/>
          <w:vertAlign w:val="subscript"/>
        </w:rPr>
        <w:t>Q</w:t>
      </w:r>
      <w:r w:rsidR="002E7807">
        <w:rPr>
          <w:i/>
          <w:iCs/>
          <w:color w:val="FF0000"/>
        </w:rPr>
        <w:t xml:space="preserve"> für Photonenstrahlung und k</w:t>
      </w:r>
      <w:r w:rsidR="002E7807">
        <w:rPr>
          <w:i/>
          <w:iCs/>
          <w:color w:val="FF0000"/>
          <w:vertAlign w:val="subscript"/>
        </w:rPr>
        <w:t>E</w:t>
      </w:r>
      <w:r w:rsidR="002E7807">
        <w:rPr>
          <w:i/>
          <w:iCs/>
          <w:color w:val="FF0000"/>
        </w:rPr>
        <w:t xml:space="preserve"> für Elektronenstrahlung deutlich. Während k</w:t>
      </w:r>
      <w:r w:rsidR="002E7807">
        <w:rPr>
          <w:i/>
          <w:iCs/>
          <w:color w:val="FF0000"/>
          <w:vertAlign w:val="subscript"/>
        </w:rPr>
        <w:t>Q</w:t>
      </w:r>
      <w:r w:rsidR="002E7807">
        <w:rPr>
          <w:i/>
          <w:iCs/>
          <w:color w:val="FF0000"/>
        </w:rPr>
        <w:t xml:space="preserve"> für alle Messtiefen </w:t>
      </w:r>
      <w:r w:rsidR="00936800">
        <w:rPr>
          <w:i/>
          <w:iCs/>
          <w:color w:val="FF0000"/>
        </w:rPr>
        <w:t>gültig ist, gilt k</w:t>
      </w:r>
      <w:r w:rsidR="00936800">
        <w:rPr>
          <w:i/>
          <w:iCs/>
          <w:color w:val="FF0000"/>
          <w:vertAlign w:val="subscript"/>
        </w:rPr>
        <w:t>E</w:t>
      </w:r>
      <w:r w:rsidR="00936800">
        <w:rPr>
          <w:i/>
          <w:iCs/>
          <w:color w:val="FF0000"/>
        </w:rPr>
        <w:t xml:space="preserve"> nur für z</w:t>
      </w:r>
      <w:r w:rsidR="00936800">
        <w:rPr>
          <w:i/>
          <w:iCs/>
          <w:color w:val="FF0000"/>
          <w:vertAlign w:val="subscript"/>
        </w:rPr>
        <w:t>ref</w:t>
      </w:r>
      <w:r w:rsidR="00973560">
        <w:rPr>
          <w:i/>
          <w:iCs/>
          <w:color w:val="FF0000"/>
        </w:rPr>
        <w:t>.</w:t>
      </w:r>
    </w:p>
    <w:p w14:paraId="39AF91DA" w14:textId="77777777" w:rsidR="00C35E80" w:rsidRPr="00B5536D" w:rsidRDefault="00C35E80" w:rsidP="00A167D7">
      <w:pPr>
        <w:pStyle w:val="Listenabsatz"/>
        <w:rPr>
          <w:i/>
          <w:iCs/>
          <w:color w:val="FF0000"/>
        </w:rPr>
      </w:pPr>
    </w:p>
    <w:p w14:paraId="03D6F5B7" w14:textId="38318D87" w:rsidR="00B3489C" w:rsidRDefault="00B3489C" w:rsidP="00B3489C">
      <w:pPr>
        <w:pStyle w:val="Default"/>
        <w:ind w:left="720"/>
      </w:pPr>
    </w:p>
    <w:p w14:paraId="689D1A49" w14:textId="2FE0E56A" w:rsidR="00B3489C" w:rsidRPr="00F87577" w:rsidRDefault="00B3489C" w:rsidP="00B3489C">
      <w:pPr>
        <w:pStyle w:val="Default"/>
        <w:numPr>
          <w:ilvl w:val="0"/>
          <w:numId w:val="2"/>
        </w:numPr>
        <w:rPr>
          <w:sz w:val="22"/>
          <w:szCs w:val="22"/>
        </w:rPr>
      </w:pPr>
      <w:r>
        <w:rPr>
          <w:b/>
          <w:bCs/>
          <w:sz w:val="22"/>
          <w:szCs w:val="22"/>
        </w:rPr>
        <w:t xml:space="preserve">Wie ändert sich die relative Tiefendosis in einem Wasserphantom bei Variation des Fokus-Oberflächen-Abstandes? Trifft dies für Photonen- und Elektronenstrahlung in vergleichbarere Weise zu? Falls nein, beschreibe die Unterschiede </w:t>
      </w:r>
    </w:p>
    <w:p w14:paraId="61CDD7C4" w14:textId="30DB6640" w:rsidR="00F87577" w:rsidRDefault="00F87577" w:rsidP="00F87577">
      <w:pPr>
        <w:pStyle w:val="Default"/>
        <w:rPr>
          <w:b/>
          <w:bCs/>
          <w:sz w:val="22"/>
          <w:szCs w:val="22"/>
        </w:rPr>
      </w:pPr>
    </w:p>
    <w:p w14:paraId="6BEE7C3D" w14:textId="1EBA141A" w:rsidR="00F87577" w:rsidRPr="00133C7A" w:rsidRDefault="00C04DAB" w:rsidP="00F87577">
      <w:pPr>
        <w:pStyle w:val="Default"/>
        <w:ind w:left="708"/>
        <w:rPr>
          <w:rFonts w:asciiTheme="minorHAnsi" w:hAnsiTheme="minorHAnsi" w:cstheme="minorHAnsi"/>
          <w:i/>
          <w:iCs/>
          <w:color w:val="FF0000"/>
          <w:sz w:val="22"/>
          <w:szCs w:val="22"/>
        </w:rPr>
      </w:pPr>
      <w:r w:rsidRPr="00133C7A">
        <w:rPr>
          <w:rFonts w:asciiTheme="minorHAnsi" w:hAnsiTheme="minorHAnsi" w:cstheme="minorHAnsi"/>
          <w:i/>
          <w:iCs/>
          <w:color w:val="FF0000"/>
          <w:sz w:val="22"/>
          <w:szCs w:val="22"/>
        </w:rPr>
        <w:t xml:space="preserve">Bei einer Veränderung des Fokus-Oberflächen-Abstandes </w:t>
      </w:r>
      <w:r w:rsidR="00246272" w:rsidRPr="00133C7A">
        <w:rPr>
          <w:rFonts w:asciiTheme="minorHAnsi" w:hAnsiTheme="minorHAnsi" w:cstheme="minorHAnsi"/>
          <w:i/>
          <w:iCs/>
          <w:color w:val="FF0000"/>
          <w:sz w:val="22"/>
          <w:szCs w:val="22"/>
        </w:rPr>
        <w:t>besitzt das Abstandquadratgesetz unterschiedliches Gewicht. Bei einem größeren FOA fällt es weniger ins Gewicht, wodurch der Dosis</w:t>
      </w:r>
      <w:r w:rsidR="00B642A4" w:rsidRPr="00133C7A">
        <w:rPr>
          <w:rFonts w:asciiTheme="minorHAnsi" w:hAnsiTheme="minorHAnsi" w:cstheme="minorHAnsi"/>
          <w:i/>
          <w:iCs/>
          <w:color w:val="FF0000"/>
          <w:sz w:val="22"/>
          <w:szCs w:val="22"/>
        </w:rPr>
        <w:t xml:space="preserve">abfall nach dem Dosismaximum sich flacher gestaltet. </w:t>
      </w:r>
      <w:r w:rsidR="002A04F3" w:rsidRPr="00133C7A">
        <w:rPr>
          <w:rFonts w:asciiTheme="minorHAnsi" w:hAnsiTheme="minorHAnsi" w:cstheme="minorHAnsi"/>
          <w:i/>
          <w:iCs/>
          <w:color w:val="FF0000"/>
          <w:sz w:val="22"/>
          <w:szCs w:val="22"/>
        </w:rPr>
        <w:t xml:space="preserve">Dies trifft für Photonen- und Elektronenstrahlung zu. </w:t>
      </w:r>
    </w:p>
    <w:p w14:paraId="63A1DBDF" w14:textId="79BDD2A4" w:rsidR="002A04F3" w:rsidRPr="00133C7A" w:rsidRDefault="002A04F3" w:rsidP="00F87577">
      <w:pPr>
        <w:pStyle w:val="Default"/>
        <w:ind w:left="708"/>
        <w:rPr>
          <w:rFonts w:asciiTheme="minorHAnsi" w:hAnsiTheme="minorHAnsi" w:cstheme="minorHAnsi"/>
          <w:i/>
          <w:iCs/>
          <w:color w:val="FF0000"/>
          <w:sz w:val="22"/>
          <w:szCs w:val="22"/>
        </w:rPr>
      </w:pPr>
      <w:r w:rsidRPr="00133C7A">
        <w:rPr>
          <w:rFonts w:asciiTheme="minorHAnsi" w:hAnsiTheme="minorHAnsi" w:cstheme="minorHAnsi"/>
          <w:i/>
          <w:iCs/>
          <w:color w:val="FF0000"/>
          <w:sz w:val="22"/>
          <w:szCs w:val="22"/>
        </w:rPr>
        <w:t>Bei Elektronenstrahlung ist jedoch noch die Wechselwirkung mit der Luft zwischen Fokus und Oberfläche zu berücksichtigen.</w:t>
      </w:r>
      <w:r w:rsidR="008301CB">
        <w:rPr>
          <w:rFonts w:asciiTheme="minorHAnsi" w:hAnsiTheme="minorHAnsi" w:cstheme="minorHAnsi"/>
          <w:i/>
          <w:iCs/>
          <w:color w:val="FF0000"/>
          <w:sz w:val="22"/>
          <w:szCs w:val="22"/>
        </w:rPr>
        <w:t xml:space="preserve"> </w:t>
      </w:r>
      <w:r w:rsidR="001A7293">
        <w:rPr>
          <w:rFonts w:asciiTheme="minorHAnsi" w:hAnsiTheme="minorHAnsi" w:cstheme="minorHAnsi"/>
          <w:i/>
          <w:iCs/>
          <w:color w:val="FF0000"/>
          <w:sz w:val="22"/>
          <w:szCs w:val="22"/>
        </w:rPr>
        <w:t>Dies führt zu einem früheren</w:t>
      </w:r>
      <w:r w:rsidR="00703740">
        <w:rPr>
          <w:rFonts w:asciiTheme="minorHAnsi" w:hAnsiTheme="minorHAnsi" w:cstheme="minorHAnsi"/>
          <w:i/>
          <w:iCs/>
          <w:color w:val="FF0000"/>
          <w:sz w:val="22"/>
          <w:szCs w:val="22"/>
        </w:rPr>
        <w:t xml:space="preserve"> Dosismaximum in geringerer Tiefe </w:t>
      </w:r>
      <w:r w:rsidR="00B20059">
        <w:rPr>
          <w:rFonts w:asciiTheme="minorHAnsi" w:hAnsiTheme="minorHAnsi" w:cstheme="minorHAnsi"/>
          <w:i/>
          <w:iCs/>
          <w:color w:val="FF0000"/>
          <w:sz w:val="22"/>
          <w:szCs w:val="22"/>
        </w:rPr>
        <w:t xml:space="preserve">und einer verminderten Reichweite. </w:t>
      </w:r>
    </w:p>
    <w:p w14:paraId="5E12B2AD" w14:textId="34736DA6" w:rsidR="00B3489C" w:rsidRDefault="00B3489C" w:rsidP="00B3489C">
      <w:pPr>
        <w:pStyle w:val="Default"/>
      </w:pPr>
    </w:p>
    <w:p w14:paraId="2D39D4B0" w14:textId="13A266ED" w:rsidR="006F5824" w:rsidRPr="0022315E" w:rsidRDefault="00B3489C" w:rsidP="00B3489C">
      <w:pPr>
        <w:pStyle w:val="Default"/>
        <w:numPr>
          <w:ilvl w:val="0"/>
          <w:numId w:val="2"/>
        </w:numPr>
        <w:rPr>
          <w:sz w:val="22"/>
          <w:szCs w:val="22"/>
        </w:rPr>
      </w:pPr>
      <w:r>
        <w:rPr>
          <w:b/>
          <w:bCs/>
          <w:sz w:val="22"/>
          <w:szCs w:val="22"/>
        </w:rPr>
        <w:t>Warum ist der Korrektionsfaktor für Sättigung nach DIN 6800-2 das Verhältnis aus der Sättigungskorrektion bei der Strahlungsqualität der Messung und der Kalibrierung (Co-60) und nicht ausschließlich die Sättigungskorrektion bei der Strahlungsqualität der Messung?</w:t>
      </w:r>
    </w:p>
    <w:p w14:paraId="585341FA" w14:textId="0D16F049" w:rsidR="0022315E" w:rsidRDefault="0022315E" w:rsidP="0022315E">
      <w:pPr>
        <w:pStyle w:val="Default"/>
        <w:rPr>
          <w:b/>
          <w:bCs/>
          <w:sz w:val="22"/>
          <w:szCs w:val="22"/>
        </w:rPr>
      </w:pPr>
    </w:p>
    <w:p w14:paraId="4470FCB1" w14:textId="5184C138" w:rsidR="00B3489C" w:rsidRDefault="007E6E93" w:rsidP="006F5824">
      <w:pPr>
        <w:pStyle w:val="Default"/>
        <w:ind w:left="708"/>
        <w:rPr>
          <w:sz w:val="22"/>
          <w:szCs w:val="22"/>
        </w:rPr>
      </w:pPr>
      <w:r>
        <w:rPr>
          <w:i/>
          <w:iCs/>
          <w:color w:val="FF0000"/>
          <w:sz w:val="22"/>
          <w:szCs w:val="22"/>
        </w:rPr>
        <w:t>Bei der Kalibrierung wird eine Sättigung von 1</w:t>
      </w:r>
      <w:r w:rsidR="008875E4">
        <w:rPr>
          <w:i/>
          <w:iCs/>
          <w:color w:val="FF0000"/>
          <w:sz w:val="22"/>
          <w:szCs w:val="22"/>
        </w:rPr>
        <w:t>00% angenommen. Da dies nich</w:t>
      </w:r>
      <w:r w:rsidR="008E4D50">
        <w:rPr>
          <w:i/>
          <w:iCs/>
          <w:color w:val="FF0000"/>
          <w:sz w:val="22"/>
          <w:szCs w:val="22"/>
        </w:rPr>
        <w:t>t zwingend der Fall ist, wird für d</w:t>
      </w:r>
      <w:r w:rsidR="00B56FA4">
        <w:rPr>
          <w:i/>
          <w:iCs/>
          <w:color w:val="FF0000"/>
          <w:sz w:val="22"/>
          <w:szCs w:val="22"/>
        </w:rPr>
        <w:t>ie Ermittlung des Korrektionsfaktors das Verhältnis</w:t>
      </w:r>
      <w:r w:rsidR="007B0480">
        <w:rPr>
          <w:i/>
          <w:iCs/>
          <w:color w:val="FF0000"/>
          <w:sz w:val="22"/>
          <w:szCs w:val="22"/>
        </w:rPr>
        <w:t xml:space="preserve"> </w:t>
      </w:r>
      <w:r w:rsidR="00B74D54">
        <w:rPr>
          <w:i/>
          <w:iCs/>
          <w:color w:val="FF0000"/>
          <w:sz w:val="22"/>
          <w:szCs w:val="22"/>
        </w:rPr>
        <w:t xml:space="preserve">aus Messung und Kalibrierung </w:t>
      </w:r>
      <w:r w:rsidR="005A162B">
        <w:rPr>
          <w:i/>
          <w:iCs/>
          <w:color w:val="FF0000"/>
          <w:sz w:val="22"/>
          <w:szCs w:val="22"/>
        </w:rPr>
        <w:t>verwendet</w:t>
      </w:r>
      <w:r w:rsidR="006B5BD4">
        <w:rPr>
          <w:i/>
          <w:iCs/>
          <w:color w:val="FF0000"/>
          <w:sz w:val="22"/>
          <w:szCs w:val="22"/>
        </w:rPr>
        <w:t>.</w:t>
      </w:r>
      <w:r w:rsidR="00B3489C">
        <w:rPr>
          <w:b/>
          <w:bCs/>
          <w:sz w:val="22"/>
          <w:szCs w:val="22"/>
        </w:rPr>
        <w:t xml:space="preserve"> </w:t>
      </w:r>
    </w:p>
    <w:p w14:paraId="1AD18A61" w14:textId="77777777" w:rsidR="00B3489C" w:rsidRDefault="00B3489C" w:rsidP="00B3489C">
      <w:pPr>
        <w:pStyle w:val="Default"/>
      </w:pPr>
      <w:r>
        <w:t xml:space="preserve"> </w:t>
      </w:r>
    </w:p>
    <w:p w14:paraId="73B678F0" w14:textId="6CF5637F" w:rsidR="00B3489C" w:rsidRPr="006B5BD4" w:rsidRDefault="00B3489C" w:rsidP="00204864">
      <w:pPr>
        <w:pStyle w:val="Default"/>
        <w:numPr>
          <w:ilvl w:val="0"/>
          <w:numId w:val="2"/>
        </w:numPr>
        <w:rPr>
          <w:sz w:val="22"/>
          <w:szCs w:val="22"/>
        </w:rPr>
      </w:pPr>
      <w:r>
        <w:rPr>
          <w:b/>
          <w:bCs/>
          <w:sz w:val="22"/>
          <w:szCs w:val="22"/>
        </w:rPr>
        <w:t xml:space="preserve">Was ist der Energieparameter für die Dosimetrie von Elektronenstrahlung und wie bestimmt man diesen mit einer luftgefüllten Ionisationskammer? Welcher Schritt würde mit einer wassergefüllten Ionisationskammer entfallen? </w:t>
      </w:r>
    </w:p>
    <w:p w14:paraId="1CF6FD65" w14:textId="4A63C1B7" w:rsidR="006B5BD4" w:rsidRDefault="006B5BD4" w:rsidP="006B5BD4">
      <w:pPr>
        <w:pStyle w:val="Default"/>
        <w:rPr>
          <w:b/>
          <w:bCs/>
          <w:sz w:val="22"/>
          <w:szCs w:val="22"/>
        </w:rPr>
      </w:pPr>
    </w:p>
    <w:p w14:paraId="700B61E5" w14:textId="712C50AD" w:rsidR="006B5BD4" w:rsidRPr="004C2B69" w:rsidRDefault="00EC622E" w:rsidP="006B5BD4">
      <w:pPr>
        <w:pStyle w:val="Default"/>
        <w:ind w:left="708"/>
        <w:rPr>
          <w:i/>
          <w:iCs/>
          <w:color w:val="FF0000"/>
          <w:sz w:val="22"/>
          <w:szCs w:val="22"/>
        </w:rPr>
      </w:pPr>
      <w:r>
        <w:rPr>
          <w:i/>
          <w:iCs/>
          <w:color w:val="FF0000"/>
          <w:sz w:val="22"/>
          <w:szCs w:val="22"/>
        </w:rPr>
        <w:t>Der Energieparameter für Elektronenstrahlung ist</w:t>
      </w:r>
      <w:r w:rsidR="004E2154">
        <w:rPr>
          <w:i/>
          <w:iCs/>
          <w:color w:val="FF0000"/>
          <w:sz w:val="22"/>
          <w:szCs w:val="22"/>
        </w:rPr>
        <w:t xml:space="preserve"> die Tiefe in der noch 50% der Maximaldosis </w:t>
      </w:r>
      <w:r w:rsidR="00DD1B5B">
        <w:rPr>
          <w:i/>
          <w:iCs/>
          <w:color w:val="FF0000"/>
          <w:sz w:val="22"/>
          <w:szCs w:val="22"/>
        </w:rPr>
        <w:t>deponiert werden,</w:t>
      </w:r>
      <w:r>
        <w:rPr>
          <w:i/>
          <w:iCs/>
          <w:color w:val="FF0000"/>
          <w:sz w:val="22"/>
          <w:szCs w:val="22"/>
        </w:rPr>
        <w:t xml:space="preserve"> </w:t>
      </w:r>
      <w:r w:rsidR="001A593F">
        <w:rPr>
          <w:i/>
          <w:iCs/>
          <w:color w:val="FF0000"/>
          <w:sz w:val="22"/>
          <w:szCs w:val="22"/>
        </w:rPr>
        <w:t>R</w:t>
      </w:r>
      <w:r w:rsidR="001A593F">
        <w:rPr>
          <w:i/>
          <w:iCs/>
          <w:color w:val="FF0000"/>
          <w:sz w:val="22"/>
          <w:szCs w:val="22"/>
          <w:vertAlign w:val="subscript"/>
        </w:rPr>
        <w:t>50</w:t>
      </w:r>
      <w:r w:rsidR="001A593F">
        <w:rPr>
          <w:i/>
          <w:iCs/>
          <w:color w:val="FF0000"/>
          <w:sz w:val="22"/>
          <w:szCs w:val="22"/>
        </w:rPr>
        <w:t xml:space="preserve">. </w:t>
      </w:r>
      <w:r w:rsidR="00E3724B">
        <w:rPr>
          <w:i/>
          <w:iCs/>
          <w:color w:val="FF0000"/>
          <w:sz w:val="22"/>
          <w:szCs w:val="22"/>
        </w:rPr>
        <w:t>Mittels eines Tiefendosisverlaufes</w:t>
      </w:r>
      <w:r w:rsidR="009D12C6">
        <w:rPr>
          <w:i/>
          <w:iCs/>
          <w:color w:val="FF0000"/>
          <w:sz w:val="22"/>
          <w:szCs w:val="22"/>
        </w:rPr>
        <w:t xml:space="preserve"> kann die Halbwerttiefe der Ionendosis</w:t>
      </w:r>
      <w:r w:rsidR="00977217">
        <w:rPr>
          <w:i/>
          <w:iCs/>
          <w:color w:val="FF0000"/>
          <w:sz w:val="22"/>
          <w:szCs w:val="22"/>
        </w:rPr>
        <w:t>,</w:t>
      </w:r>
      <w:r w:rsidR="009D12C6">
        <w:rPr>
          <w:i/>
          <w:iCs/>
          <w:color w:val="FF0000"/>
          <w:sz w:val="22"/>
          <w:szCs w:val="22"/>
        </w:rPr>
        <w:t xml:space="preserve"> R</w:t>
      </w:r>
      <w:r w:rsidR="009D12C6">
        <w:rPr>
          <w:i/>
          <w:iCs/>
          <w:color w:val="FF0000"/>
          <w:sz w:val="22"/>
          <w:szCs w:val="22"/>
          <w:vertAlign w:val="subscript"/>
        </w:rPr>
        <w:t>50,ion</w:t>
      </w:r>
      <w:r w:rsidR="00977217">
        <w:rPr>
          <w:i/>
          <w:iCs/>
          <w:color w:val="FF0000"/>
          <w:sz w:val="22"/>
          <w:szCs w:val="22"/>
        </w:rPr>
        <w:t>,</w:t>
      </w:r>
      <w:r w:rsidR="009D12C6">
        <w:rPr>
          <w:i/>
          <w:iCs/>
          <w:color w:val="FF0000"/>
          <w:sz w:val="22"/>
          <w:szCs w:val="22"/>
        </w:rPr>
        <w:t xml:space="preserve"> bestimmt werden. </w:t>
      </w:r>
      <w:r w:rsidR="0032096D">
        <w:rPr>
          <w:i/>
          <w:iCs/>
          <w:color w:val="FF0000"/>
          <w:sz w:val="22"/>
          <w:szCs w:val="22"/>
        </w:rPr>
        <w:t xml:space="preserve">Diese kann wiederum in </w:t>
      </w:r>
      <w:r w:rsidR="004C2B69">
        <w:rPr>
          <w:i/>
          <w:iCs/>
          <w:color w:val="FF0000"/>
          <w:sz w:val="22"/>
          <w:szCs w:val="22"/>
        </w:rPr>
        <w:t xml:space="preserve">die Halbwerttiefe in Wasser, </w:t>
      </w:r>
      <w:r w:rsidR="004C2B69">
        <w:rPr>
          <w:i/>
          <w:iCs/>
          <w:color w:val="FF0000"/>
          <w:sz w:val="22"/>
          <w:szCs w:val="22"/>
        </w:rPr>
        <w:lastRenderedPageBreak/>
        <w:t>R</w:t>
      </w:r>
      <w:r w:rsidR="004C2B69">
        <w:rPr>
          <w:i/>
          <w:iCs/>
          <w:color w:val="FF0000"/>
          <w:sz w:val="22"/>
          <w:szCs w:val="22"/>
          <w:vertAlign w:val="subscript"/>
        </w:rPr>
        <w:t>50</w:t>
      </w:r>
      <w:r w:rsidR="004C2B69">
        <w:rPr>
          <w:i/>
          <w:iCs/>
          <w:color w:val="FF0000"/>
          <w:sz w:val="22"/>
          <w:szCs w:val="22"/>
        </w:rPr>
        <w:t xml:space="preserve">, </w:t>
      </w:r>
      <w:r w:rsidR="004E2154">
        <w:rPr>
          <w:i/>
          <w:iCs/>
          <w:color w:val="FF0000"/>
          <w:sz w:val="22"/>
          <w:szCs w:val="22"/>
        </w:rPr>
        <w:t xml:space="preserve">umgerechnet </w:t>
      </w:r>
      <w:r w:rsidR="004C2B69">
        <w:rPr>
          <w:i/>
          <w:iCs/>
          <w:color w:val="FF0000"/>
          <w:sz w:val="22"/>
          <w:szCs w:val="22"/>
        </w:rPr>
        <w:t>werden</w:t>
      </w:r>
      <w:r w:rsidR="00416622">
        <w:rPr>
          <w:i/>
          <w:iCs/>
          <w:color w:val="FF0000"/>
          <w:sz w:val="22"/>
          <w:szCs w:val="22"/>
        </w:rPr>
        <w:t xml:space="preserve"> (mittels einer energieabhängigen Formel aus DIN 6800-2</w:t>
      </w:r>
      <w:r w:rsidR="00220DF9">
        <w:rPr>
          <w:i/>
          <w:iCs/>
          <w:color w:val="FF0000"/>
          <w:sz w:val="22"/>
          <w:szCs w:val="22"/>
        </w:rPr>
        <w:t>)</w:t>
      </w:r>
      <w:r w:rsidR="00416622">
        <w:rPr>
          <w:i/>
          <w:iCs/>
          <w:color w:val="FF0000"/>
          <w:sz w:val="22"/>
          <w:szCs w:val="22"/>
        </w:rPr>
        <w:t xml:space="preserve"> </w:t>
      </w:r>
      <w:r w:rsidR="004C2B69">
        <w:rPr>
          <w:i/>
          <w:iCs/>
          <w:color w:val="FF0000"/>
          <w:sz w:val="22"/>
          <w:szCs w:val="22"/>
        </w:rPr>
        <w:t xml:space="preserve">. </w:t>
      </w:r>
      <w:r w:rsidR="00C43CBE">
        <w:rPr>
          <w:i/>
          <w:iCs/>
          <w:color w:val="FF0000"/>
          <w:sz w:val="22"/>
          <w:szCs w:val="22"/>
        </w:rPr>
        <w:t>Der letzte Schritt würde bei einer wassergefüllten Ionisationskammer entfallen.</w:t>
      </w:r>
    </w:p>
    <w:p w14:paraId="39E6B425" w14:textId="77777777" w:rsidR="00B3489C" w:rsidRDefault="00B3489C" w:rsidP="00B3489C">
      <w:pPr>
        <w:pStyle w:val="Default"/>
      </w:pPr>
    </w:p>
    <w:p w14:paraId="6299B63F" w14:textId="1EB7D3BC" w:rsidR="00B3489C" w:rsidRDefault="00B3489C" w:rsidP="00204864">
      <w:pPr>
        <w:pStyle w:val="Default"/>
        <w:numPr>
          <w:ilvl w:val="0"/>
          <w:numId w:val="2"/>
        </w:numPr>
        <w:rPr>
          <w:b/>
          <w:bCs/>
          <w:sz w:val="22"/>
          <w:szCs w:val="22"/>
        </w:rPr>
      </w:pPr>
      <w:r>
        <w:rPr>
          <w:b/>
          <w:bCs/>
          <w:sz w:val="22"/>
          <w:szCs w:val="22"/>
        </w:rPr>
        <w:t xml:space="preserve">Warum ist zur Bestimmung der Sättigungskorrektion an einem Linearbeschleuniger die Dosis pro Strahlpuls entscheidend und nicht die mittlere Dosisleistung? Welche Voraussetzung muss hierfür erfüllt sein? </w:t>
      </w:r>
    </w:p>
    <w:p w14:paraId="0D42996F" w14:textId="4F04EB66" w:rsidR="00DD1B5B" w:rsidRDefault="00DD1B5B" w:rsidP="00DD1B5B">
      <w:pPr>
        <w:pStyle w:val="Default"/>
        <w:ind w:left="708"/>
        <w:rPr>
          <w:b/>
          <w:bCs/>
          <w:sz w:val="22"/>
          <w:szCs w:val="22"/>
        </w:rPr>
      </w:pPr>
    </w:p>
    <w:p w14:paraId="0AC78B1D" w14:textId="02F0CC5C" w:rsidR="00DD1B5B" w:rsidRDefault="005C3FE6" w:rsidP="00DD1B5B">
      <w:pPr>
        <w:pStyle w:val="Default"/>
        <w:ind w:left="708"/>
        <w:rPr>
          <w:i/>
          <w:iCs/>
          <w:color w:val="FF0000"/>
          <w:sz w:val="22"/>
          <w:szCs w:val="22"/>
        </w:rPr>
      </w:pPr>
      <w:r>
        <w:rPr>
          <w:i/>
          <w:iCs/>
          <w:color w:val="FF0000"/>
          <w:sz w:val="22"/>
          <w:szCs w:val="22"/>
        </w:rPr>
        <w:t xml:space="preserve">Ein Linearbeschleuniger </w:t>
      </w:r>
      <w:r w:rsidR="002C1491">
        <w:rPr>
          <w:i/>
          <w:iCs/>
          <w:color w:val="FF0000"/>
          <w:sz w:val="22"/>
          <w:szCs w:val="22"/>
        </w:rPr>
        <w:t xml:space="preserve">erzeugt gepulste Strahlung. </w:t>
      </w:r>
      <w:r w:rsidR="00613B58">
        <w:rPr>
          <w:i/>
          <w:iCs/>
          <w:color w:val="FF0000"/>
          <w:sz w:val="22"/>
          <w:szCs w:val="22"/>
        </w:rPr>
        <w:t xml:space="preserve">Da für die unvollständige Sättigung hohe Dosisleistungen kritisch sind, </w:t>
      </w:r>
      <w:r w:rsidR="00B001B1">
        <w:rPr>
          <w:i/>
          <w:iCs/>
          <w:color w:val="FF0000"/>
          <w:sz w:val="22"/>
          <w:szCs w:val="22"/>
        </w:rPr>
        <w:t>sollte nicht über die gesamte Dauer gemittelt werden, sondern die Dosis pro Puls verwendet werden</w:t>
      </w:r>
      <w:r w:rsidR="00C4761A">
        <w:rPr>
          <w:i/>
          <w:iCs/>
          <w:color w:val="FF0000"/>
          <w:sz w:val="22"/>
          <w:szCs w:val="22"/>
        </w:rPr>
        <w:t>. (Ionensammelzeit?)</w:t>
      </w:r>
    </w:p>
    <w:p w14:paraId="32648FB4" w14:textId="6EDC23C6" w:rsidR="0005237B" w:rsidRPr="00DD1B5B" w:rsidRDefault="00D732D1" w:rsidP="00DD1B5B">
      <w:pPr>
        <w:pStyle w:val="Default"/>
        <w:ind w:left="708"/>
        <w:rPr>
          <w:i/>
          <w:iCs/>
          <w:color w:val="FF0000"/>
          <w:sz w:val="22"/>
          <w:szCs w:val="22"/>
        </w:rPr>
      </w:pPr>
      <w:r>
        <w:rPr>
          <w:i/>
          <w:iCs/>
          <w:color w:val="FF0000"/>
          <w:sz w:val="22"/>
          <w:szCs w:val="22"/>
        </w:rPr>
        <w:t>Die Puls</w:t>
      </w:r>
      <w:r w:rsidR="00091087">
        <w:rPr>
          <w:i/>
          <w:iCs/>
          <w:color w:val="FF0000"/>
          <w:sz w:val="22"/>
          <w:szCs w:val="22"/>
        </w:rPr>
        <w:t xml:space="preserve">frequenz muss konstant bleiben. </w:t>
      </w:r>
      <w:r w:rsidR="00B976DF">
        <w:rPr>
          <w:i/>
          <w:iCs/>
          <w:color w:val="FF0000"/>
          <w:sz w:val="22"/>
          <w:szCs w:val="22"/>
        </w:rPr>
        <w:t xml:space="preserve">Da diese für unterschiedliche Energien </w:t>
      </w:r>
      <w:r w:rsidR="0099095C">
        <w:rPr>
          <w:i/>
          <w:iCs/>
          <w:color w:val="FF0000"/>
          <w:sz w:val="22"/>
          <w:szCs w:val="22"/>
        </w:rPr>
        <w:t>unterschiedlich sein kann, muss die Sättigungskorrektur für jede Energie separat durchgeführt werden. (</w:t>
      </w:r>
      <w:r w:rsidR="0005237B">
        <w:rPr>
          <w:i/>
          <w:iCs/>
          <w:color w:val="FF0000"/>
          <w:sz w:val="22"/>
          <w:szCs w:val="22"/>
        </w:rPr>
        <w:t>Die Pulsdosisleistung muss bekannt sein</w:t>
      </w:r>
      <w:r w:rsidR="00937123">
        <w:rPr>
          <w:i/>
          <w:iCs/>
          <w:color w:val="FF0000"/>
          <w:sz w:val="22"/>
          <w:szCs w:val="22"/>
        </w:rPr>
        <w:t>/bestimmt werden</w:t>
      </w:r>
      <w:r w:rsidR="00862D38">
        <w:rPr>
          <w:i/>
          <w:iCs/>
          <w:color w:val="FF0000"/>
          <w:sz w:val="22"/>
          <w:szCs w:val="22"/>
        </w:rPr>
        <w:t>.</w:t>
      </w:r>
      <w:r w:rsidR="0099095C">
        <w:rPr>
          <w:i/>
          <w:iCs/>
          <w:color w:val="FF0000"/>
          <w:sz w:val="22"/>
          <w:szCs w:val="22"/>
        </w:rPr>
        <w:t>)</w:t>
      </w:r>
    </w:p>
    <w:p w14:paraId="570B8A2A" w14:textId="77777777" w:rsidR="00B3489C" w:rsidRDefault="00B3489C" w:rsidP="00B3489C">
      <w:pPr>
        <w:pStyle w:val="Default"/>
      </w:pPr>
    </w:p>
    <w:p w14:paraId="70C05CF9" w14:textId="287E97A8" w:rsidR="00B3489C" w:rsidRPr="00913D19" w:rsidRDefault="00B3489C" w:rsidP="00204864">
      <w:pPr>
        <w:pStyle w:val="Default"/>
        <w:numPr>
          <w:ilvl w:val="0"/>
          <w:numId w:val="2"/>
        </w:numPr>
        <w:rPr>
          <w:sz w:val="22"/>
          <w:szCs w:val="22"/>
        </w:rPr>
      </w:pPr>
      <w:r>
        <w:rPr>
          <w:b/>
          <w:bCs/>
          <w:sz w:val="22"/>
          <w:szCs w:val="22"/>
        </w:rPr>
        <w:t xml:space="preserve">Acht Blutbeutel mit den Maßen 12x15x2cm (Gesamthöhe also 16cm aufeinandergelegt) müssen gleichzeitig mit einer Dosis von 30Gy am Linac bestahlt werden. Die Minimaldosis sollte 27 Gy nicht unterschreiten und die Maximaldosis nicht über 33Gy liegen. Wie würdest Du dies am Linearbeschleuniger realisieren und welche Messungen zur Dosimetrie müsstest du hierfür durchführen? </w:t>
      </w:r>
    </w:p>
    <w:p w14:paraId="1B8CCBD8" w14:textId="458CC158" w:rsidR="00913D19" w:rsidRDefault="00913D19" w:rsidP="00913D19">
      <w:pPr>
        <w:pStyle w:val="Default"/>
        <w:rPr>
          <w:b/>
          <w:bCs/>
          <w:sz w:val="22"/>
          <w:szCs w:val="22"/>
        </w:rPr>
      </w:pPr>
    </w:p>
    <w:p w14:paraId="43E21846" w14:textId="54654189" w:rsidR="00913D19" w:rsidRPr="00D2628F" w:rsidRDefault="00913D19" w:rsidP="00913D19">
      <w:pPr>
        <w:pStyle w:val="Default"/>
        <w:ind w:left="708"/>
        <w:rPr>
          <w:i/>
          <w:iCs/>
          <w:color w:val="FF0000"/>
          <w:sz w:val="22"/>
          <w:szCs w:val="22"/>
        </w:rPr>
      </w:pPr>
      <w:r>
        <w:rPr>
          <w:i/>
          <w:iCs/>
          <w:color w:val="FF0000"/>
          <w:sz w:val="22"/>
          <w:szCs w:val="22"/>
        </w:rPr>
        <w:t xml:space="preserve">Gegenfeldbestrahlung mit hoher Photonenenergie. </w:t>
      </w:r>
      <w:r w:rsidR="00F97E90">
        <w:rPr>
          <w:i/>
          <w:iCs/>
          <w:color w:val="FF0000"/>
          <w:sz w:val="22"/>
          <w:szCs w:val="22"/>
        </w:rPr>
        <w:t>Idealerweise: Positionierung in Wasser oder anderem Material</w:t>
      </w:r>
      <w:r w:rsidR="00267A27">
        <w:rPr>
          <w:i/>
          <w:iCs/>
          <w:color w:val="FF0000"/>
          <w:sz w:val="22"/>
          <w:szCs w:val="22"/>
        </w:rPr>
        <w:t>,</w:t>
      </w:r>
      <w:r w:rsidR="00F97E90">
        <w:rPr>
          <w:i/>
          <w:iCs/>
          <w:color w:val="FF0000"/>
          <w:sz w:val="22"/>
          <w:szCs w:val="22"/>
        </w:rPr>
        <w:t xml:space="preserve"> um keinen Aufbaueffekt in den Blutbeuteln selbst zu haben.</w:t>
      </w:r>
      <w:r w:rsidR="00D2628F">
        <w:rPr>
          <w:i/>
          <w:iCs/>
          <w:color w:val="FF0000"/>
          <w:sz w:val="22"/>
          <w:szCs w:val="22"/>
        </w:rPr>
        <w:t xml:space="preserve"> Feldgröße: 20x20 cm</w:t>
      </w:r>
      <w:r w:rsidR="00D2628F">
        <w:rPr>
          <w:i/>
          <w:iCs/>
          <w:color w:val="FF0000"/>
          <w:sz w:val="22"/>
          <w:szCs w:val="22"/>
          <w:vertAlign w:val="superscript"/>
        </w:rPr>
        <w:t>2</w:t>
      </w:r>
      <w:r w:rsidR="00AC3D30">
        <w:rPr>
          <w:i/>
          <w:iCs/>
          <w:color w:val="FF0000"/>
          <w:sz w:val="22"/>
          <w:szCs w:val="22"/>
          <w:vertAlign w:val="superscript"/>
        </w:rPr>
        <w:t xml:space="preserve"> </w:t>
      </w:r>
      <w:r w:rsidR="00AC3D30">
        <w:rPr>
          <w:i/>
          <w:iCs/>
          <w:color w:val="FF0000"/>
          <w:sz w:val="22"/>
          <w:szCs w:val="22"/>
        </w:rPr>
        <w:t>oder größer</w:t>
      </w:r>
      <w:r w:rsidR="00267A27">
        <w:rPr>
          <w:i/>
          <w:iCs/>
          <w:color w:val="FF0000"/>
          <w:sz w:val="22"/>
          <w:szCs w:val="22"/>
        </w:rPr>
        <w:t>,</w:t>
      </w:r>
      <w:r w:rsidR="00D2628F">
        <w:rPr>
          <w:i/>
          <w:iCs/>
          <w:color w:val="FF0000"/>
          <w:sz w:val="22"/>
          <w:szCs w:val="22"/>
        </w:rPr>
        <w:t xml:space="preserve"> um </w:t>
      </w:r>
      <w:r w:rsidR="00267A27">
        <w:rPr>
          <w:i/>
          <w:iCs/>
          <w:color w:val="FF0000"/>
          <w:sz w:val="22"/>
          <w:szCs w:val="22"/>
        </w:rPr>
        <w:t>eine Abdeckung mit dem Dosisplateau zu gewährleisten</w:t>
      </w:r>
      <w:r w:rsidR="00C71E1A">
        <w:rPr>
          <w:i/>
          <w:iCs/>
          <w:color w:val="FF0000"/>
          <w:sz w:val="22"/>
          <w:szCs w:val="22"/>
        </w:rPr>
        <w:t xml:space="preserve">. </w:t>
      </w:r>
      <w:r w:rsidR="00AC3D30">
        <w:rPr>
          <w:i/>
          <w:iCs/>
          <w:color w:val="FF0000"/>
          <w:sz w:val="22"/>
          <w:szCs w:val="22"/>
        </w:rPr>
        <w:t xml:space="preserve">Isozentrum zwischen Beutel 4 und 5 und Dosisvorschrift für dieses. </w:t>
      </w:r>
    </w:p>
    <w:p w14:paraId="3E3170E5" w14:textId="6E7E7EF0" w:rsidR="007958E4" w:rsidRDefault="00D2628F" w:rsidP="00913D19">
      <w:pPr>
        <w:pStyle w:val="Default"/>
        <w:ind w:left="708"/>
        <w:rPr>
          <w:i/>
          <w:iCs/>
          <w:color w:val="FF0000"/>
          <w:sz w:val="22"/>
          <w:szCs w:val="22"/>
        </w:rPr>
      </w:pPr>
      <w:r>
        <w:rPr>
          <w:i/>
          <w:iCs/>
          <w:color w:val="FF0000"/>
          <w:sz w:val="22"/>
          <w:szCs w:val="22"/>
        </w:rPr>
        <w:t>Messungen</w:t>
      </w:r>
      <w:r w:rsidR="00267A27">
        <w:rPr>
          <w:i/>
          <w:iCs/>
          <w:color w:val="FF0000"/>
          <w:sz w:val="22"/>
          <w:szCs w:val="22"/>
        </w:rPr>
        <w:t>:</w:t>
      </w:r>
    </w:p>
    <w:p w14:paraId="05D89D19" w14:textId="0C47E102" w:rsidR="00267A27" w:rsidRDefault="00AE47FB" w:rsidP="00267A27">
      <w:pPr>
        <w:pStyle w:val="Default"/>
        <w:numPr>
          <w:ilvl w:val="0"/>
          <w:numId w:val="8"/>
        </w:numPr>
        <w:rPr>
          <w:i/>
          <w:iCs/>
          <w:color w:val="FF0000"/>
          <w:sz w:val="22"/>
          <w:szCs w:val="22"/>
        </w:rPr>
      </w:pPr>
      <w:r>
        <w:rPr>
          <w:i/>
          <w:iCs/>
          <w:color w:val="FF0000"/>
          <w:sz w:val="22"/>
          <w:szCs w:val="22"/>
        </w:rPr>
        <w:t xml:space="preserve">Tiefendosisverlauf </w:t>
      </w:r>
    </w:p>
    <w:p w14:paraId="3C8FB39D" w14:textId="2778416F" w:rsidR="00AE47FB" w:rsidRDefault="00AE47FB" w:rsidP="00267A27">
      <w:pPr>
        <w:pStyle w:val="Default"/>
        <w:numPr>
          <w:ilvl w:val="0"/>
          <w:numId w:val="8"/>
        </w:numPr>
        <w:rPr>
          <w:i/>
          <w:iCs/>
          <w:color w:val="FF0000"/>
          <w:sz w:val="22"/>
          <w:szCs w:val="22"/>
        </w:rPr>
      </w:pPr>
      <w:r>
        <w:rPr>
          <w:i/>
          <w:iCs/>
          <w:color w:val="FF0000"/>
          <w:sz w:val="22"/>
          <w:szCs w:val="22"/>
        </w:rPr>
        <w:t>Querprofile</w:t>
      </w:r>
    </w:p>
    <w:p w14:paraId="3AEE5F50" w14:textId="39DF68F2" w:rsidR="00911DA2" w:rsidRPr="009F011A" w:rsidRDefault="00AE47FB" w:rsidP="00911DA2">
      <w:pPr>
        <w:pStyle w:val="Default"/>
        <w:numPr>
          <w:ilvl w:val="0"/>
          <w:numId w:val="8"/>
        </w:numPr>
        <w:rPr>
          <w:b/>
          <w:bCs/>
          <w:sz w:val="22"/>
          <w:szCs w:val="22"/>
        </w:rPr>
      </w:pPr>
      <w:r w:rsidRPr="009F011A">
        <w:rPr>
          <w:i/>
          <w:iCs/>
          <w:color w:val="FF0000"/>
          <w:sz w:val="22"/>
          <w:szCs w:val="22"/>
        </w:rPr>
        <w:t>Absolutdosimetrie</w:t>
      </w:r>
    </w:p>
    <w:p w14:paraId="4A26620A" w14:textId="7D210746" w:rsidR="00B3489C" w:rsidRDefault="00B3489C" w:rsidP="00B3489C">
      <w:pPr>
        <w:pStyle w:val="Default"/>
      </w:pPr>
    </w:p>
    <w:p w14:paraId="7720F73F" w14:textId="77777777" w:rsidR="00B91729" w:rsidRDefault="00B91729" w:rsidP="00B3489C">
      <w:pPr>
        <w:pStyle w:val="Default"/>
      </w:pPr>
    </w:p>
    <w:p w14:paraId="3D8BE4A3" w14:textId="46BA1E9A" w:rsidR="00B3489C" w:rsidRPr="00B91729" w:rsidRDefault="00B3489C" w:rsidP="00204864">
      <w:pPr>
        <w:pStyle w:val="Default"/>
        <w:numPr>
          <w:ilvl w:val="0"/>
          <w:numId w:val="2"/>
        </w:numPr>
        <w:rPr>
          <w:sz w:val="22"/>
          <w:szCs w:val="22"/>
        </w:rPr>
      </w:pPr>
      <w:r>
        <w:rPr>
          <w:b/>
          <w:bCs/>
          <w:sz w:val="22"/>
          <w:szCs w:val="22"/>
        </w:rPr>
        <w:t xml:space="preserve">Welche Bedeutung haben der totale Streufaktor, der Strahlerkopfstreufaktor und der Phantomstreufaktor und wie bestimmt man diese? </w:t>
      </w:r>
    </w:p>
    <w:p w14:paraId="6D34D761" w14:textId="1F37917C" w:rsidR="00B91729" w:rsidRDefault="00B91729" w:rsidP="00B91729">
      <w:pPr>
        <w:pStyle w:val="Default"/>
        <w:rPr>
          <w:b/>
          <w:bCs/>
          <w:sz w:val="22"/>
          <w:szCs w:val="22"/>
        </w:rPr>
      </w:pPr>
    </w:p>
    <w:p w14:paraId="31D51598" w14:textId="73CC81B7" w:rsidR="00B91729" w:rsidRDefault="002E16A1" w:rsidP="00B91729">
      <w:pPr>
        <w:pStyle w:val="Default"/>
        <w:ind w:left="708"/>
        <w:rPr>
          <w:i/>
          <w:iCs/>
          <w:color w:val="FF0000"/>
          <w:sz w:val="22"/>
          <w:szCs w:val="22"/>
        </w:rPr>
      </w:pPr>
      <w:r w:rsidRPr="007575F1">
        <w:rPr>
          <w:i/>
          <w:iCs/>
          <w:color w:val="FF0000"/>
          <w:sz w:val="22"/>
          <w:szCs w:val="22"/>
          <w:u w:val="single"/>
        </w:rPr>
        <w:t>Strahlerkopfstreufaktor:</w:t>
      </w:r>
      <w:r>
        <w:rPr>
          <w:i/>
          <w:iCs/>
          <w:color w:val="FF0000"/>
          <w:sz w:val="22"/>
          <w:szCs w:val="22"/>
        </w:rPr>
        <w:t xml:space="preserve"> </w:t>
      </w:r>
      <w:r w:rsidR="00E97DC5">
        <w:rPr>
          <w:i/>
          <w:iCs/>
          <w:color w:val="FF0000"/>
          <w:sz w:val="22"/>
          <w:szCs w:val="22"/>
        </w:rPr>
        <w:t>Berücksichtigt Einfluss von im Strahlerkopf entstehender Streustrahlung auf die Dosisdeposition pro ME bei verschiedenen Feldgrößen. Dieser kann dire</w:t>
      </w:r>
      <w:r w:rsidR="005F2A05">
        <w:rPr>
          <w:i/>
          <w:iCs/>
          <w:color w:val="FF0000"/>
          <w:sz w:val="22"/>
          <w:szCs w:val="22"/>
        </w:rPr>
        <w:t>kt, durch Deposition der Energie der Streustrahlung i</w:t>
      </w:r>
      <w:r w:rsidR="0068340A">
        <w:rPr>
          <w:i/>
          <w:iCs/>
          <w:color w:val="FF0000"/>
          <w:sz w:val="22"/>
          <w:szCs w:val="22"/>
        </w:rPr>
        <w:t xml:space="preserve">n der Materie, oder indirekt, durch Rückstreuung in den Dosismonitor, sein. </w:t>
      </w:r>
      <w:r w:rsidR="00252E72">
        <w:rPr>
          <w:i/>
          <w:iCs/>
          <w:color w:val="FF0000"/>
          <w:sz w:val="22"/>
          <w:szCs w:val="22"/>
        </w:rPr>
        <w:t>Er wird mittels eines Miniphantoms oder einer Aufbaukappe gemessen, um den Phantomstreufaktor konstant zu halten.</w:t>
      </w:r>
    </w:p>
    <w:p w14:paraId="0D4B4436" w14:textId="2C30CB10" w:rsidR="00454E77" w:rsidRDefault="00075BF2" w:rsidP="00454E77">
      <w:pPr>
        <w:pStyle w:val="Default"/>
        <w:ind w:left="708"/>
        <w:rPr>
          <w:i/>
          <w:iCs/>
          <w:color w:val="FF0000"/>
          <w:sz w:val="22"/>
          <w:szCs w:val="22"/>
        </w:rPr>
      </w:pPr>
      <w:r w:rsidRPr="007575F1">
        <w:rPr>
          <w:i/>
          <w:iCs/>
          <w:color w:val="FF0000"/>
          <w:sz w:val="22"/>
          <w:szCs w:val="22"/>
          <w:u w:val="single"/>
        </w:rPr>
        <w:t>Phantomstreufaktor:</w:t>
      </w:r>
      <w:r>
        <w:rPr>
          <w:i/>
          <w:iCs/>
          <w:color w:val="FF0000"/>
          <w:sz w:val="22"/>
          <w:szCs w:val="22"/>
        </w:rPr>
        <w:t xml:space="preserve"> </w:t>
      </w:r>
      <w:r w:rsidR="00583A08">
        <w:rPr>
          <w:i/>
          <w:iCs/>
          <w:color w:val="FF0000"/>
          <w:sz w:val="22"/>
          <w:szCs w:val="22"/>
        </w:rPr>
        <w:t>Einfluss der Streuung im Phantom auf die Dosisdeposition</w:t>
      </w:r>
      <w:r w:rsidR="00277B1A">
        <w:rPr>
          <w:i/>
          <w:iCs/>
          <w:color w:val="FF0000"/>
          <w:sz w:val="22"/>
          <w:szCs w:val="22"/>
        </w:rPr>
        <w:t xml:space="preserve"> bei verschiedenen Feldgrößen</w:t>
      </w:r>
      <w:r w:rsidR="00DC7D5A">
        <w:rPr>
          <w:i/>
          <w:iCs/>
          <w:color w:val="FF0000"/>
          <w:sz w:val="22"/>
          <w:szCs w:val="22"/>
        </w:rPr>
        <w:t xml:space="preserve">. </w:t>
      </w:r>
      <w:r w:rsidR="00BF58E7">
        <w:rPr>
          <w:i/>
          <w:iCs/>
          <w:color w:val="FF0000"/>
          <w:sz w:val="22"/>
          <w:szCs w:val="22"/>
        </w:rPr>
        <w:t xml:space="preserve">Kann schwer gemessen werden, deshalb Berechnung aus Strahlerkopfstreufaktor und </w:t>
      </w:r>
      <w:r w:rsidR="00454E77">
        <w:rPr>
          <w:i/>
          <w:iCs/>
          <w:color w:val="FF0000"/>
          <w:sz w:val="22"/>
          <w:szCs w:val="22"/>
        </w:rPr>
        <w:t>totalem Streufaktor.</w:t>
      </w:r>
      <w:r w:rsidR="00133D18">
        <w:rPr>
          <w:i/>
          <w:iCs/>
          <w:color w:val="FF0000"/>
          <w:sz w:val="22"/>
          <w:szCs w:val="22"/>
        </w:rPr>
        <w:t xml:space="preserve"> </w:t>
      </w:r>
    </w:p>
    <w:p w14:paraId="269EC5FC" w14:textId="146C0C73" w:rsidR="00454E77" w:rsidRPr="00910A66" w:rsidRDefault="00454E77" w:rsidP="00454E77">
      <w:pPr>
        <w:pStyle w:val="Default"/>
        <w:ind w:left="708"/>
        <w:rPr>
          <w:i/>
          <w:iCs/>
          <w:color w:val="FF0000"/>
          <w:sz w:val="22"/>
          <w:szCs w:val="22"/>
        </w:rPr>
      </w:pPr>
      <w:r w:rsidRPr="007575F1">
        <w:rPr>
          <w:i/>
          <w:iCs/>
          <w:color w:val="FF0000"/>
          <w:sz w:val="22"/>
          <w:szCs w:val="22"/>
          <w:u w:val="single"/>
        </w:rPr>
        <w:t>Totaler Streufaktor:</w:t>
      </w:r>
      <w:r>
        <w:rPr>
          <w:i/>
          <w:iCs/>
          <w:color w:val="FF0000"/>
          <w:sz w:val="22"/>
          <w:szCs w:val="22"/>
        </w:rPr>
        <w:t xml:space="preserve"> </w:t>
      </w:r>
      <w:r w:rsidR="00FA5DFC">
        <w:rPr>
          <w:i/>
          <w:iCs/>
          <w:color w:val="FF0000"/>
          <w:sz w:val="22"/>
          <w:szCs w:val="22"/>
        </w:rPr>
        <w:t>berücksichtigt die unterschiedliche Dosis, die bei derselben Anzahl Monitoreinheiten</w:t>
      </w:r>
      <w:r w:rsidR="0016638D">
        <w:rPr>
          <w:i/>
          <w:iCs/>
          <w:color w:val="FF0000"/>
          <w:sz w:val="22"/>
          <w:szCs w:val="22"/>
        </w:rPr>
        <w:t xml:space="preserve">, in Abhängigkeit von der Feldgröße deponiert werden. </w:t>
      </w:r>
      <w:r w:rsidR="00910A66">
        <w:rPr>
          <w:i/>
          <w:iCs/>
          <w:color w:val="FF0000"/>
          <w:sz w:val="22"/>
          <w:szCs w:val="22"/>
        </w:rPr>
        <w:t>Entspricht dem Outputfaktor, ist jeweils auf das 10x10 cm</w:t>
      </w:r>
      <w:r w:rsidR="00910A66">
        <w:rPr>
          <w:i/>
          <w:iCs/>
          <w:color w:val="FF0000"/>
          <w:sz w:val="22"/>
          <w:szCs w:val="22"/>
          <w:vertAlign w:val="superscript"/>
        </w:rPr>
        <w:t>2</w:t>
      </w:r>
      <w:r w:rsidR="00910A66">
        <w:rPr>
          <w:i/>
          <w:iCs/>
          <w:color w:val="FF0000"/>
          <w:sz w:val="22"/>
          <w:szCs w:val="22"/>
        </w:rPr>
        <w:t xml:space="preserve"> Feld </w:t>
      </w:r>
      <w:r w:rsidR="00F3216E">
        <w:rPr>
          <w:i/>
          <w:iCs/>
          <w:color w:val="FF0000"/>
          <w:sz w:val="22"/>
          <w:szCs w:val="22"/>
        </w:rPr>
        <w:t xml:space="preserve">normiert. Ergibt sich als Produkt von Strahlerkopfstreufaktor und Phantomstreufaktor. </w:t>
      </w:r>
    </w:p>
    <w:p w14:paraId="2BD47CD1" w14:textId="77777777" w:rsidR="00B3489C" w:rsidRDefault="00B3489C" w:rsidP="00B3489C">
      <w:pPr>
        <w:pStyle w:val="Default"/>
      </w:pPr>
    </w:p>
    <w:p w14:paraId="11C5306D" w14:textId="07E10FCE" w:rsidR="00B3489C" w:rsidRPr="00662D7E" w:rsidRDefault="00B3489C" w:rsidP="00204864">
      <w:pPr>
        <w:pStyle w:val="Default"/>
        <w:numPr>
          <w:ilvl w:val="0"/>
          <w:numId w:val="2"/>
        </w:numPr>
        <w:rPr>
          <w:sz w:val="22"/>
          <w:szCs w:val="22"/>
        </w:rPr>
      </w:pPr>
      <w:r>
        <w:rPr>
          <w:b/>
          <w:bCs/>
          <w:sz w:val="22"/>
          <w:szCs w:val="22"/>
        </w:rPr>
        <w:t xml:space="preserve">Warum fällt bei gleicher Elektronenenergie der Tiefendosisverlauf eines sehr kleinen Feldes sehr viel schneller als derjenige eines größeren Feldes? Wie verhält sich dieser Effekt bei kleiner und hoher Elektronenenergie? </w:t>
      </w:r>
    </w:p>
    <w:p w14:paraId="6027FA38" w14:textId="78B732DF" w:rsidR="00662D7E" w:rsidRDefault="00662D7E" w:rsidP="00662D7E">
      <w:pPr>
        <w:pStyle w:val="Default"/>
        <w:rPr>
          <w:b/>
          <w:bCs/>
          <w:sz w:val="22"/>
          <w:szCs w:val="22"/>
        </w:rPr>
      </w:pPr>
    </w:p>
    <w:p w14:paraId="272790DF" w14:textId="6E37F1FB" w:rsidR="00662D7E" w:rsidRPr="00662D7E" w:rsidRDefault="00D671E8" w:rsidP="00662D7E">
      <w:pPr>
        <w:pStyle w:val="Default"/>
        <w:ind w:left="708"/>
        <w:rPr>
          <w:i/>
          <w:iCs/>
          <w:color w:val="FF0000"/>
          <w:sz w:val="22"/>
          <w:szCs w:val="22"/>
        </w:rPr>
      </w:pPr>
      <w:r>
        <w:rPr>
          <w:i/>
          <w:iCs/>
          <w:color w:val="FF0000"/>
          <w:sz w:val="22"/>
          <w:szCs w:val="22"/>
        </w:rPr>
        <w:lastRenderedPageBreak/>
        <w:t xml:space="preserve">Bei kleinen Feldern </w:t>
      </w:r>
      <w:r w:rsidR="00490338">
        <w:rPr>
          <w:i/>
          <w:iCs/>
          <w:color w:val="FF0000"/>
          <w:sz w:val="22"/>
          <w:szCs w:val="22"/>
        </w:rPr>
        <w:t>überwiegt die Ausstreuung</w:t>
      </w:r>
      <w:r w:rsidR="005C15FC">
        <w:rPr>
          <w:i/>
          <w:iCs/>
          <w:color w:val="FF0000"/>
          <w:sz w:val="22"/>
          <w:szCs w:val="22"/>
        </w:rPr>
        <w:t xml:space="preserve"> im Gegensatz zur Einstreuung </w:t>
      </w:r>
      <w:r w:rsidR="004D7887">
        <w:rPr>
          <w:i/>
          <w:iCs/>
          <w:color w:val="FF0000"/>
          <w:sz w:val="22"/>
          <w:szCs w:val="22"/>
        </w:rPr>
        <w:t>der Elektronen</w:t>
      </w:r>
      <w:r w:rsidR="00B0314D">
        <w:rPr>
          <w:i/>
          <w:iCs/>
          <w:color w:val="FF0000"/>
          <w:sz w:val="22"/>
          <w:szCs w:val="22"/>
        </w:rPr>
        <w:t xml:space="preserve"> aus bzw. </w:t>
      </w:r>
      <w:r w:rsidR="001E0BAC">
        <w:rPr>
          <w:i/>
          <w:iCs/>
          <w:color w:val="FF0000"/>
          <w:sz w:val="22"/>
          <w:szCs w:val="22"/>
        </w:rPr>
        <w:t xml:space="preserve">in das umliegende </w:t>
      </w:r>
      <w:r w:rsidR="00624B0C">
        <w:rPr>
          <w:i/>
          <w:iCs/>
          <w:color w:val="FF0000"/>
          <w:sz w:val="22"/>
          <w:szCs w:val="22"/>
        </w:rPr>
        <w:t>Volumen</w:t>
      </w:r>
      <w:r w:rsidR="004D7887">
        <w:rPr>
          <w:i/>
          <w:iCs/>
          <w:color w:val="FF0000"/>
          <w:sz w:val="22"/>
          <w:szCs w:val="22"/>
        </w:rPr>
        <w:t xml:space="preserve">. </w:t>
      </w:r>
      <w:r w:rsidR="00274DB4">
        <w:rPr>
          <w:i/>
          <w:iCs/>
          <w:color w:val="FF0000"/>
          <w:sz w:val="22"/>
          <w:szCs w:val="22"/>
        </w:rPr>
        <w:t>Bei höheren Energien werde die Elektronen eher vorwärtsgestreut, der Effekt ist geringer als bei kleinen Energien.</w:t>
      </w:r>
    </w:p>
    <w:p w14:paraId="25EDBE8F" w14:textId="77777777" w:rsidR="00B3489C" w:rsidRDefault="00B3489C" w:rsidP="00B3489C">
      <w:pPr>
        <w:pStyle w:val="Default"/>
      </w:pPr>
    </w:p>
    <w:p w14:paraId="2CB43F8E" w14:textId="0FE8AFF9" w:rsidR="00B3489C" w:rsidRPr="003144C9" w:rsidRDefault="00B3489C" w:rsidP="00204864">
      <w:pPr>
        <w:pStyle w:val="Default"/>
        <w:numPr>
          <w:ilvl w:val="0"/>
          <w:numId w:val="2"/>
        </w:numPr>
        <w:rPr>
          <w:sz w:val="22"/>
          <w:szCs w:val="22"/>
        </w:rPr>
      </w:pPr>
      <w:r>
        <w:rPr>
          <w:b/>
          <w:bCs/>
          <w:sz w:val="22"/>
          <w:szCs w:val="22"/>
        </w:rPr>
        <w:t xml:space="preserve">Welche Korrektionsfaktoren nach DIN 6800-2 können bei Relativmessungen von Photonen- oder Elektronenstrahlung außer Acht gelassen werden? </w:t>
      </w:r>
    </w:p>
    <w:p w14:paraId="6CB39AE7" w14:textId="414A79A4" w:rsidR="003144C9" w:rsidRDefault="003144C9" w:rsidP="003144C9">
      <w:pPr>
        <w:pStyle w:val="Default"/>
        <w:ind w:left="708"/>
        <w:rPr>
          <w:b/>
          <w:bCs/>
          <w:sz w:val="22"/>
          <w:szCs w:val="22"/>
        </w:rPr>
      </w:pPr>
    </w:p>
    <w:p w14:paraId="61296DCE" w14:textId="69B820C0" w:rsidR="003144C9" w:rsidRDefault="00601416" w:rsidP="003144C9">
      <w:pPr>
        <w:pStyle w:val="Default"/>
        <w:ind w:left="708"/>
        <w:rPr>
          <w:i/>
          <w:iCs/>
          <w:color w:val="FF0000"/>
          <w:sz w:val="22"/>
          <w:szCs w:val="22"/>
        </w:rPr>
      </w:pPr>
      <w:r>
        <w:rPr>
          <w:i/>
          <w:iCs/>
          <w:color w:val="FF0000"/>
          <w:sz w:val="22"/>
          <w:szCs w:val="22"/>
        </w:rPr>
        <w:t>Alle Korrektionsfaktoren, die in der Tiefe konstant sind:</w:t>
      </w:r>
    </w:p>
    <w:p w14:paraId="57CD4D73" w14:textId="2CAF80F5" w:rsidR="00601416" w:rsidRDefault="007B6433" w:rsidP="00601416">
      <w:pPr>
        <w:pStyle w:val="Default"/>
        <w:numPr>
          <w:ilvl w:val="0"/>
          <w:numId w:val="8"/>
        </w:numPr>
        <w:rPr>
          <w:i/>
          <w:iCs/>
          <w:color w:val="FF0000"/>
          <w:sz w:val="22"/>
          <w:szCs w:val="22"/>
        </w:rPr>
      </w:pPr>
      <w:r>
        <w:rPr>
          <w:i/>
          <w:iCs/>
          <w:color w:val="FF0000"/>
          <w:sz w:val="22"/>
          <w:szCs w:val="22"/>
        </w:rPr>
        <w:t>K</w:t>
      </w:r>
      <w:r>
        <w:rPr>
          <w:i/>
          <w:iCs/>
          <w:color w:val="FF0000"/>
          <w:sz w:val="22"/>
          <w:szCs w:val="22"/>
          <w:vertAlign w:val="subscript"/>
        </w:rPr>
        <w:t>H</w:t>
      </w:r>
      <w:r>
        <w:rPr>
          <w:i/>
          <w:iCs/>
          <w:color w:val="FF0000"/>
          <w:sz w:val="22"/>
          <w:szCs w:val="22"/>
        </w:rPr>
        <w:t xml:space="preserve"> (Luftfeutigkeit)</w:t>
      </w:r>
    </w:p>
    <w:p w14:paraId="63F30F7E" w14:textId="7B9F3598" w:rsidR="007B6433" w:rsidRDefault="007B6433" w:rsidP="00601416">
      <w:pPr>
        <w:pStyle w:val="Default"/>
        <w:numPr>
          <w:ilvl w:val="0"/>
          <w:numId w:val="8"/>
        </w:numPr>
        <w:rPr>
          <w:i/>
          <w:iCs/>
          <w:color w:val="FF0000"/>
          <w:sz w:val="22"/>
          <w:szCs w:val="22"/>
        </w:rPr>
      </w:pPr>
      <w:r>
        <w:rPr>
          <w:i/>
          <w:iCs/>
          <w:color w:val="FF0000"/>
          <w:sz w:val="22"/>
          <w:szCs w:val="22"/>
        </w:rPr>
        <w:t>K</w:t>
      </w:r>
      <w:r>
        <w:rPr>
          <w:i/>
          <w:iCs/>
          <w:color w:val="FF0000"/>
          <w:sz w:val="22"/>
          <w:szCs w:val="22"/>
          <w:vertAlign w:val="subscript"/>
        </w:rPr>
        <w:t>T</w:t>
      </w:r>
      <w:r>
        <w:rPr>
          <w:i/>
          <w:iCs/>
          <w:color w:val="FF0000"/>
          <w:sz w:val="22"/>
          <w:szCs w:val="22"/>
        </w:rPr>
        <w:t xml:space="preserve"> (Temperatur)</w:t>
      </w:r>
    </w:p>
    <w:p w14:paraId="25D7EFC6" w14:textId="48A77FF3" w:rsidR="007B6433" w:rsidRDefault="007B6433" w:rsidP="00601416">
      <w:pPr>
        <w:pStyle w:val="Default"/>
        <w:numPr>
          <w:ilvl w:val="0"/>
          <w:numId w:val="8"/>
        </w:numPr>
        <w:rPr>
          <w:i/>
          <w:iCs/>
          <w:color w:val="FF0000"/>
          <w:sz w:val="22"/>
          <w:szCs w:val="22"/>
        </w:rPr>
      </w:pPr>
      <w:r>
        <w:rPr>
          <w:i/>
          <w:iCs/>
          <w:color w:val="FF0000"/>
          <w:sz w:val="22"/>
          <w:szCs w:val="22"/>
        </w:rPr>
        <w:t>k</w:t>
      </w:r>
      <w:r>
        <w:rPr>
          <w:i/>
          <w:iCs/>
          <w:color w:val="FF0000"/>
          <w:sz w:val="22"/>
          <w:szCs w:val="22"/>
          <w:vertAlign w:val="subscript"/>
        </w:rPr>
        <w:t>ρ</w:t>
      </w:r>
      <w:r>
        <w:rPr>
          <w:i/>
          <w:iCs/>
          <w:color w:val="FF0000"/>
          <w:sz w:val="22"/>
          <w:szCs w:val="22"/>
        </w:rPr>
        <w:t xml:space="preserve"> (Luftdichte)</w:t>
      </w:r>
    </w:p>
    <w:p w14:paraId="5CE4731A" w14:textId="76C761CC" w:rsidR="007B6433" w:rsidRDefault="007B6433" w:rsidP="00601416">
      <w:pPr>
        <w:pStyle w:val="Default"/>
        <w:numPr>
          <w:ilvl w:val="0"/>
          <w:numId w:val="8"/>
        </w:numPr>
        <w:rPr>
          <w:i/>
          <w:iCs/>
          <w:color w:val="FF0000"/>
          <w:sz w:val="22"/>
          <w:szCs w:val="22"/>
        </w:rPr>
      </w:pPr>
      <w:r>
        <w:rPr>
          <w:i/>
          <w:iCs/>
          <w:color w:val="FF0000"/>
          <w:sz w:val="22"/>
          <w:szCs w:val="22"/>
        </w:rPr>
        <w:t>k</w:t>
      </w:r>
      <w:r>
        <w:rPr>
          <w:i/>
          <w:iCs/>
          <w:color w:val="FF0000"/>
          <w:sz w:val="22"/>
          <w:szCs w:val="22"/>
          <w:vertAlign w:val="subscript"/>
        </w:rPr>
        <w:t>r</w:t>
      </w:r>
      <w:r w:rsidR="00D73977">
        <w:rPr>
          <w:i/>
          <w:iCs/>
          <w:color w:val="FF0000"/>
          <w:sz w:val="22"/>
          <w:szCs w:val="22"/>
        </w:rPr>
        <w:t xml:space="preserve"> (Messortverschiebung)</w:t>
      </w:r>
    </w:p>
    <w:p w14:paraId="1495AE89" w14:textId="03A29752" w:rsidR="00FA096C" w:rsidRPr="002379E1" w:rsidRDefault="00D73977" w:rsidP="002379E1">
      <w:pPr>
        <w:pStyle w:val="Default"/>
        <w:numPr>
          <w:ilvl w:val="0"/>
          <w:numId w:val="8"/>
        </w:numPr>
        <w:rPr>
          <w:i/>
          <w:iCs/>
          <w:color w:val="FF0000"/>
          <w:sz w:val="22"/>
          <w:szCs w:val="22"/>
        </w:rPr>
      </w:pPr>
      <w:r>
        <w:rPr>
          <w:i/>
          <w:iCs/>
          <w:color w:val="FF0000"/>
          <w:sz w:val="22"/>
          <w:szCs w:val="22"/>
        </w:rPr>
        <w:t>k</w:t>
      </w:r>
      <w:r>
        <w:rPr>
          <w:i/>
          <w:iCs/>
          <w:color w:val="FF0000"/>
          <w:sz w:val="22"/>
          <w:szCs w:val="22"/>
          <w:vertAlign w:val="subscript"/>
        </w:rPr>
        <w:t>Q</w:t>
      </w:r>
      <w:r>
        <w:rPr>
          <w:i/>
          <w:iCs/>
          <w:color w:val="FF0000"/>
          <w:sz w:val="22"/>
          <w:szCs w:val="22"/>
        </w:rPr>
        <w:t xml:space="preserve"> (</w:t>
      </w:r>
      <w:r w:rsidR="00960B66">
        <w:rPr>
          <w:i/>
          <w:iCs/>
          <w:color w:val="FF0000"/>
          <w:sz w:val="22"/>
          <w:szCs w:val="22"/>
        </w:rPr>
        <w:t>Strahlungsqualität bei Photonen)</w:t>
      </w:r>
    </w:p>
    <w:p w14:paraId="35530A05" w14:textId="77777777" w:rsidR="00B3489C" w:rsidRDefault="00B3489C" w:rsidP="00B3489C">
      <w:pPr>
        <w:pStyle w:val="Default"/>
      </w:pPr>
    </w:p>
    <w:p w14:paraId="13C7E175" w14:textId="77777777" w:rsidR="008977DC" w:rsidRPr="008977DC" w:rsidRDefault="00B3489C" w:rsidP="00204864">
      <w:pPr>
        <w:pStyle w:val="Default"/>
        <w:numPr>
          <w:ilvl w:val="0"/>
          <w:numId w:val="2"/>
        </w:numPr>
        <w:rPr>
          <w:sz w:val="22"/>
          <w:szCs w:val="22"/>
        </w:rPr>
      </w:pPr>
      <w:r>
        <w:rPr>
          <w:b/>
          <w:bCs/>
          <w:sz w:val="22"/>
          <w:szCs w:val="22"/>
        </w:rPr>
        <w:t>Was versteht man unter Delta-Elektronen und welche Bedeutung haben diese in der Dosimetrie? Was ist die allgemein übliche Schwellenenergie für Delta-Elektronen?</w:t>
      </w:r>
    </w:p>
    <w:p w14:paraId="6E15B7A6" w14:textId="77777777" w:rsidR="008977DC" w:rsidRDefault="008977DC" w:rsidP="008977DC">
      <w:pPr>
        <w:pStyle w:val="Default"/>
        <w:rPr>
          <w:b/>
          <w:bCs/>
          <w:sz w:val="22"/>
          <w:szCs w:val="22"/>
        </w:rPr>
      </w:pPr>
    </w:p>
    <w:p w14:paraId="4DB43E81" w14:textId="0D091954" w:rsidR="00B3489C" w:rsidRDefault="00E811B4" w:rsidP="008977DC">
      <w:pPr>
        <w:pStyle w:val="Default"/>
        <w:ind w:left="708"/>
        <w:rPr>
          <w:sz w:val="22"/>
          <w:szCs w:val="22"/>
        </w:rPr>
      </w:pPr>
      <w:r>
        <w:rPr>
          <w:i/>
          <w:iCs/>
          <w:color w:val="FF0000"/>
          <w:sz w:val="22"/>
          <w:szCs w:val="22"/>
        </w:rPr>
        <w:t>Delta-Elektronen sind Sekundärelektronen mit hoher Energie</w:t>
      </w:r>
      <w:r w:rsidR="00A17F77">
        <w:rPr>
          <w:i/>
          <w:iCs/>
          <w:color w:val="FF0000"/>
          <w:sz w:val="22"/>
          <w:szCs w:val="22"/>
        </w:rPr>
        <w:t xml:space="preserve">. Diese sind in der Dosimetrie relevant, da sie die Energie in größerer Entfernung, z.B. außerhalb der </w:t>
      </w:r>
      <w:r w:rsidR="001E7830">
        <w:rPr>
          <w:i/>
          <w:iCs/>
          <w:color w:val="FF0000"/>
          <w:sz w:val="22"/>
          <w:szCs w:val="22"/>
        </w:rPr>
        <w:t>Messsonde deponieren können.</w:t>
      </w:r>
      <w:r w:rsidR="002B4524">
        <w:rPr>
          <w:i/>
          <w:iCs/>
          <w:color w:val="FF0000"/>
          <w:sz w:val="22"/>
          <w:szCs w:val="22"/>
        </w:rPr>
        <w:t xml:space="preserve"> </w:t>
      </w:r>
      <w:r w:rsidR="00D55597">
        <w:rPr>
          <w:i/>
          <w:iCs/>
          <w:color w:val="FF0000"/>
          <w:sz w:val="22"/>
          <w:szCs w:val="22"/>
        </w:rPr>
        <w:t>Somit können diese zwar im Messvolumen entstehen</w:t>
      </w:r>
      <w:r w:rsidR="00A22792">
        <w:rPr>
          <w:i/>
          <w:iCs/>
          <w:color w:val="FF0000"/>
          <w:sz w:val="22"/>
          <w:szCs w:val="22"/>
        </w:rPr>
        <w:t>, aber ihre Energie dort nicht deponieren, sie leisten also keinen Beitrag zum Messwert.</w:t>
      </w:r>
      <w:r w:rsidR="001E7830">
        <w:rPr>
          <w:i/>
          <w:iCs/>
          <w:color w:val="FF0000"/>
          <w:sz w:val="22"/>
          <w:szCs w:val="22"/>
        </w:rPr>
        <w:t xml:space="preserve"> </w:t>
      </w:r>
      <w:r w:rsidR="00DB0CA2">
        <w:rPr>
          <w:i/>
          <w:iCs/>
          <w:color w:val="FF0000"/>
          <w:sz w:val="22"/>
          <w:szCs w:val="22"/>
        </w:rPr>
        <w:t>Die Schwellenergie liegt bei 10</w:t>
      </w:r>
      <w:r w:rsidR="003A10BA">
        <w:rPr>
          <w:i/>
          <w:iCs/>
          <w:color w:val="FF0000"/>
          <w:sz w:val="22"/>
          <w:szCs w:val="22"/>
        </w:rPr>
        <w:t>keV</w:t>
      </w:r>
      <w:r w:rsidR="0064585B">
        <w:rPr>
          <w:i/>
          <w:iCs/>
          <w:color w:val="FF0000"/>
          <w:sz w:val="22"/>
          <w:szCs w:val="22"/>
        </w:rPr>
        <w:t xml:space="preserve">, das entspricht der Abschneideenergie </w:t>
      </w:r>
      <w:r w:rsidR="00570790">
        <w:rPr>
          <w:i/>
          <w:iCs/>
          <w:color w:val="FF0000"/>
          <w:sz w:val="22"/>
          <w:szCs w:val="22"/>
        </w:rPr>
        <w:t>von Spencer</w:t>
      </w:r>
      <w:r w:rsidR="00D16276">
        <w:rPr>
          <w:i/>
          <w:iCs/>
          <w:color w:val="FF0000"/>
          <w:sz w:val="22"/>
          <w:szCs w:val="22"/>
        </w:rPr>
        <w:t xml:space="preserve">-Attix. </w:t>
      </w:r>
    </w:p>
    <w:p w14:paraId="32198D96" w14:textId="77777777" w:rsidR="00B3489C" w:rsidRPr="00B3489C" w:rsidRDefault="00B3489C" w:rsidP="00B3489C">
      <w:pPr>
        <w:autoSpaceDE w:val="0"/>
        <w:autoSpaceDN w:val="0"/>
        <w:adjustRightInd w:val="0"/>
        <w:spacing w:after="0" w:line="240" w:lineRule="auto"/>
        <w:rPr>
          <w:rFonts w:ascii="Times New Roman" w:hAnsi="Times New Roman" w:cs="Times New Roman"/>
          <w:color w:val="000000"/>
          <w:sz w:val="24"/>
          <w:szCs w:val="24"/>
        </w:rPr>
      </w:pPr>
    </w:p>
    <w:p w14:paraId="195992E1" w14:textId="6D6C3236" w:rsidR="00B3489C" w:rsidRDefault="00B3489C" w:rsidP="00204864">
      <w:pPr>
        <w:pStyle w:val="Listenabsatz"/>
        <w:numPr>
          <w:ilvl w:val="0"/>
          <w:numId w:val="2"/>
        </w:numPr>
        <w:autoSpaceDE w:val="0"/>
        <w:autoSpaceDN w:val="0"/>
        <w:adjustRightInd w:val="0"/>
        <w:spacing w:after="0" w:line="240" w:lineRule="auto"/>
        <w:rPr>
          <w:rFonts w:cstheme="minorHAnsi"/>
          <w:b/>
          <w:bCs/>
          <w:color w:val="000000"/>
        </w:rPr>
      </w:pPr>
      <w:r w:rsidRPr="00204864">
        <w:rPr>
          <w:rFonts w:cstheme="minorHAnsi"/>
          <w:b/>
          <w:bCs/>
          <w:color w:val="000000"/>
        </w:rPr>
        <w:t xml:space="preserve">Was ist der Unterschied zwischen Messort und effektivem Messpunkt </w:t>
      </w:r>
    </w:p>
    <w:p w14:paraId="6ACF3441" w14:textId="77F64AA1" w:rsidR="00D20D1E" w:rsidRDefault="00D20D1E" w:rsidP="00D20D1E">
      <w:pPr>
        <w:autoSpaceDE w:val="0"/>
        <w:autoSpaceDN w:val="0"/>
        <w:adjustRightInd w:val="0"/>
        <w:spacing w:after="0" w:line="240" w:lineRule="auto"/>
        <w:rPr>
          <w:rFonts w:cstheme="minorHAnsi"/>
          <w:b/>
          <w:bCs/>
          <w:color w:val="000000"/>
        </w:rPr>
      </w:pPr>
    </w:p>
    <w:p w14:paraId="3E99EC10" w14:textId="4FC57653" w:rsidR="00D20D1E" w:rsidRPr="00D20D1E" w:rsidRDefault="006B2B53" w:rsidP="00D20D1E">
      <w:pPr>
        <w:autoSpaceDE w:val="0"/>
        <w:autoSpaceDN w:val="0"/>
        <w:adjustRightInd w:val="0"/>
        <w:spacing w:after="0" w:line="240" w:lineRule="auto"/>
        <w:ind w:left="708"/>
        <w:rPr>
          <w:rFonts w:cstheme="minorHAnsi"/>
          <w:i/>
          <w:iCs/>
          <w:color w:val="FF0000"/>
        </w:rPr>
      </w:pPr>
      <w:r>
        <w:rPr>
          <w:rFonts w:cstheme="minorHAnsi"/>
          <w:i/>
          <w:iCs/>
          <w:color w:val="FF0000"/>
        </w:rPr>
        <w:t>Der Messort bezieht sich auf das Phantom und beschreibt den Ort, an dem die Dosis</w:t>
      </w:r>
      <w:r w:rsidR="00DE6D20">
        <w:rPr>
          <w:rFonts w:cstheme="minorHAnsi"/>
          <w:i/>
          <w:iCs/>
          <w:color w:val="FF0000"/>
        </w:rPr>
        <w:t xml:space="preserve"> bestimmt werden soll. Der effektive Messpunkt bezieht sich auf die Ionsiationskammer</w:t>
      </w:r>
      <w:r w:rsidR="00246011">
        <w:rPr>
          <w:rFonts w:cstheme="minorHAnsi"/>
          <w:i/>
          <w:iCs/>
          <w:color w:val="FF0000"/>
        </w:rPr>
        <w:t xml:space="preserve"> und beschreibt den Punkt, </w:t>
      </w:r>
      <w:r w:rsidR="00C512ED">
        <w:rPr>
          <w:rFonts w:cstheme="minorHAnsi"/>
          <w:i/>
          <w:iCs/>
          <w:color w:val="FF0000"/>
        </w:rPr>
        <w:t xml:space="preserve">für den die </w:t>
      </w:r>
      <w:r w:rsidR="00C432D9">
        <w:rPr>
          <w:rFonts w:cstheme="minorHAnsi"/>
          <w:i/>
          <w:iCs/>
          <w:color w:val="FF0000"/>
        </w:rPr>
        <w:t xml:space="preserve">gemessene Dosis gilt. Dieser liegt bei </w:t>
      </w:r>
      <w:r w:rsidR="0088547A">
        <w:rPr>
          <w:rFonts w:cstheme="minorHAnsi"/>
          <w:i/>
          <w:iCs/>
          <w:color w:val="FF0000"/>
        </w:rPr>
        <w:t>Kompaktkammern</w:t>
      </w:r>
      <w:r w:rsidR="00C432D9">
        <w:rPr>
          <w:rFonts w:cstheme="minorHAnsi"/>
          <w:i/>
          <w:iCs/>
          <w:color w:val="FF0000"/>
        </w:rPr>
        <w:t xml:space="preserve"> um den halben Kammerinneradius </w:t>
      </w:r>
      <w:r w:rsidR="00E03662">
        <w:rPr>
          <w:rFonts w:cstheme="minorHAnsi"/>
          <w:i/>
          <w:iCs/>
          <w:color w:val="FF0000"/>
        </w:rPr>
        <w:t>oberhalb des Bezugspunktes</w:t>
      </w:r>
    </w:p>
    <w:p w14:paraId="38759544" w14:textId="77777777" w:rsidR="00B3489C" w:rsidRDefault="00B3489C" w:rsidP="00B3489C">
      <w:pPr>
        <w:pStyle w:val="Default"/>
      </w:pPr>
    </w:p>
    <w:p w14:paraId="11EC2567" w14:textId="65592CEF" w:rsidR="00B3489C" w:rsidRPr="0088547A" w:rsidRDefault="00B3489C" w:rsidP="00204864">
      <w:pPr>
        <w:pStyle w:val="Default"/>
        <w:numPr>
          <w:ilvl w:val="0"/>
          <w:numId w:val="2"/>
        </w:numPr>
        <w:rPr>
          <w:sz w:val="22"/>
          <w:szCs w:val="22"/>
        </w:rPr>
      </w:pPr>
      <w:r>
        <w:rPr>
          <w:b/>
          <w:bCs/>
          <w:sz w:val="22"/>
          <w:szCs w:val="22"/>
        </w:rPr>
        <w:t xml:space="preserve">Was ist der Unterschied zwischen dem Planungszielvolumen (PTV) und dem klinischen Zielvolumen (CTV) </w:t>
      </w:r>
    </w:p>
    <w:p w14:paraId="291DC469" w14:textId="7604C616" w:rsidR="0088547A" w:rsidRDefault="0088547A" w:rsidP="0088547A">
      <w:pPr>
        <w:pStyle w:val="Default"/>
        <w:rPr>
          <w:b/>
          <w:bCs/>
          <w:sz w:val="22"/>
          <w:szCs w:val="22"/>
        </w:rPr>
      </w:pPr>
    </w:p>
    <w:p w14:paraId="303020F2" w14:textId="7B0DE677" w:rsidR="0088547A" w:rsidRPr="00E23B3A" w:rsidRDefault="00E23B3A" w:rsidP="0088547A">
      <w:pPr>
        <w:pStyle w:val="Default"/>
        <w:ind w:left="708"/>
        <w:rPr>
          <w:i/>
          <w:iCs/>
          <w:color w:val="FF0000"/>
          <w:sz w:val="22"/>
          <w:szCs w:val="22"/>
        </w:rPr>
      </w:pPr>
      <w:r>
        <w:rPr>
          <w:i/>
          <w:iCs/>
          <w:color w:val="FF0000"/>
          <w:sz w:val="22"/>
          <w:szCs w:val="22"/>
        </w:rPr>
        <w:t xml:space="preserve">Das klinische Zielvolumen ist das kleinste Volumen, welches das zusammenhängende </w:t>
      </w:r>
      <w:r w:rsidR="00581399">
        <w:rPr>
          <w:i/>
          <w:iCs/>
          <w:color w:val="FF0000"/>
          <w:sz w:val="22"/>
          <w:szCs w:val="22"/>
        </w:rPr>
        <w:t>Tumorgewebe</w:t>
      </w:r>
      <w:r w:rsidR="007605E9">
        <w:rPr>
          <w:i/>
          <w:iCs/>
          <w:color w:val="FF0000"/>
          <w:sz w:val="22"/>
          <w:szCs w:val="22"/>
        </w:rPr>
        <w:t xml:space="preserve"> (und umliegendes Gewebe mit der Gefahr von Tumorzellen)</w:t>
      </w:r>
      <w:r w:rsidR="00581399">
        <w:rPr>
          <w:i/>
          <w:iCs/>
          <w:color w:val="FF0000"/>
          <w:sz w:val="22"/>
          <w:szCs w:val="22"/>
        </w:rPr>
        <w:t xml:space="preserve"> umschließt</w:t>
      </w:r>
      <w:r w:rsidR="00C6146D">
        <w:rPr>
          <w:i/>
          <w:iCs/>
          <w:color w:val="FF0000"/>
          <w:sz w:val="22"/>
          <w:szCs w:val="22"/>
        </w:rPr>
        <w:t xml:space="preserve"> und </w:t>
      </w:r>
      <w:r w:rsidR="003E40DE">
        <w:rPr>
          <w:i/>
          <w:iCs/>
          <w:color w:val="FF0000"/>
          <w:sz w:val="22"/>
          <w:szCs w:val="22"/>
        </w:rPr>
        <w:t xml:space="preserve">in dem eine bestimmte </w:t>
      </w:r>
      <w:r w:rsidR="0005716B">
        <w:rPr>
          <w:i/>
          <w:iCs/>
          <w:color w:val="FF0000"/>
          <w:sz w:val="22"/>
          <w:szCs w:val="22"/>
        </w:rPr>
        <w:t>Dosis erreicht werden soll</w:t>
      </w:r>
      <w:r w:rsidR="00581399">
        <w:rPr>
          <w:i/>
          <w:iCs/>
          <w:color w:val="FF0000"/>
          <w:sz w:val="22"/>
          <w:szCs w:val="22"/>
        </w:rPr>
        <w:t xml:space="preserve">. </w:t>
      </w:r>
      <w:r w:rsidR="00484C98">
        <w:rPr>
          <w:i/>
          <w:iCs/>
          <w:color w:val="FF0000"/>
          <w:sz w:val="22"/>
          <w:szCs w:val="22"/>
        </w:rPr>
        <w:t xml:space="preserve">Das Planungszielvolumen </w:t>
      </w:r>
      <w:r w:rsidR="00EB2478">
        <w:rPr>
          <w:i/>
          <w:iCs/>
          <w:color w:val="FF0000"/>
          <w:sz w:val="22"/>
          <w:szCs w:val="22"/>
        </w:rPr>
        <w:t xml:space="preserve">umfasst </w:t>
      </w:r>
      <w:r w:rsidR="00AB1E05">
        <w:rPr>
          <w:i/>
          <w:iCs/>
          <w:color w:val="FF0000"/>
          <w:sz w:val="22"/>
          <w:szCs w:val="22"/>
        </w:rPr>
        <w:t xml:space="preserve">das CTV und </w:t>
      </w:r>
      <w:r w:rsidR="00CE5331">
        <w:rPr>
          <w:i/>
          <w:iCs/>
          <w:color w:val="FF0000"/>
          <w:sz w:val="22"/>
          <w:szCs w:val="22"/>
        </w:rPr>
        <w:t xml:space="preserve">berücksichtigt </w:t>
      </w:r>
      <w:r w:rsidR="00AB1E05">
        <w:rPr>
          <w:i/>
          <w:iCs/>
          <w:color w:val="FF0000"/>
          <w:sz w:val="22"/>
          <w:szCs w:val="22"/>
        </w:rPr>
        <w:t>zusätzlich</w:t>
      </w:r>
      <w:r w:rsidR="00607833">
        <w:rPr>
          <w:i/>
          <w:iCs/>
          <w:color w:val="FF0000"/>
          <w:sz w:val="22"/>
          <w:szCs w:val="22"/>
        </w:rPr>
        <w:t xml:space="preserve"> </w:t>
      </w:r>
      <w:r w:rsidR="00BB223F">
        <w:rPr>
          <w:i/>
          <w:iCs/>
          <w:color w:val="FF0000"/>
          <w:sz w:val="22"/>
          <w:szCs w:val="22"/>
        </w:rPr>
        <w:t xml:space="preserve">die Unsicherheiten </w:t>
      </w:r>
      <w:r w:rsidR="00CE5331">
        <w:rPr>
          <w:i/>
          <w:iCs/>
          <w:color w:val="FF0000"/>
          <w:sz w:val="22"/>
          <w:szCs w:val="22"/>
        </w:rPr>
        <w:t xml:space="preserve">bei </w:t>
      </w:r>
      <w:r w:rsidR="00C764CE">
        <w:rPr>
          <w:i/>
          <w:iCs/>
          <w:color w:val="FF0000"/>
          <w:sz w:val="22"/>
          <w:szCs w:val="22"/>
        </w:rPr>
        <w:t xml:space="preserve">Lagerung, Bildgebung, Applizierung </w:t>
      </w:r>
      <w:r w:rsidR="00B41329">
        <w:rPr>
          <w:i/>
          <w:iCs/>
          <w:color w:val="FF0000"/>
          <w:sz w:val="22"/>
          <w:szCs w:val="22"/>
        </w:rPr>
        <w:t xml:space="preserve">… </w:t>
      </w:r>
    </w:p>
    <w:p w14:paraId="0AEDFCB1" w14:textId="77777777" w:rsidR="00B3489C" w:rsidRDefault="00B3489C" w:rsidP="00B3489C">
      <w:pPr>
        <w:pStyle w:val="Default"/>
      </w:pPr>
    </w:p>
    <w:p w14:paraId="6703CBEB" w14:textId="5F4F5A11" w:rsidR="00B3489C" w:rsidRPr="007605E9" w:rsidRDefault="00B3489C" w:rsidP="00204864">
      <w:pPr>
        <w:pStyle w:val="Default"/>
        <w:numPr>
          <w:ilvl w:val="0"/>
          <w:numId w:val="2"/>
        </w:numPr>
        <w:rPr>
          <w:sz w:val="22"/>
          <w:szCs w:val="22"/>
        </w:rPr>
      </w:pPr>
      <w:r>
        <w:rPr>
          <w:b/>
          <w:bCs/>
          <w:sz w:val="22"/>
          <w:szCs w:val="22"/>
        </w:rPr>
        <w:t xml:space="preserve">Was versteht man unter der effektiven Dosis und welche Größen benötigt man, um diese bestimmen zu können? </w:t>
      </w:r>
    </w:p>
    <w:p w14:paraId="023F1B51" w14:textId="4A079D6F" w:rsidR="007605E9" w:rsidRDefault="007605E9" w:rsidP="007605E9">
      <w:pPr>
        <w:pStyle w:val="Default"/>
        <w:ind w:left="360"/>
        <w:rPr>
          <w:b/>
          <w:bCs/>
          <w:sz w:val="22"/>
          <w:szCs w:val="22"/>
        </w:rPr>
      </w:pPr>
    </w:p>
    <w:p w14:paraId="66CBFEEE" w14:textId="2893B40D" w:rsidR="00B155BA" w:rsidRPr="00B155BA" w:rsidRDefault="00246DA7" w:rsidP="007605E9">
      <w:pPr>
        <w:pStyle w:val="Default"/>
        <w:ind w:left="708"/>
        <w:rPr>
          <w:rFonts w:eastAsiaTheme="minorEastAsia"/>
          <w:i/>
          <w:iCs/>
          <w:color w:val="FF0000"/>
          <w:sz w:val="22"/>
          <w:szCs w:val="22"/>
        </w:rPr>
      </w:pPr>
      <w:r>
        <w:rPr>
          <w:i/>
          <w:iCs/>
          <w:color w:val="FF0000"/>
          <w:sz w:val="22"/>
          <w:szCs w:val="22"/>
        </w:rPr>
        <w:t xml:space="preserve">Die effektive Dosis ist die Energiedosis, gewichtet mit </w:t>
      </w:r>
      <w:r w:rsidR="00234263">
        <w:rPr>
          <w:i/>
          <w:iCs/>
          <w:color w:val="FF0000"/>
          <w:sz w:val="22"/>
          <w:szCs w:val="22"/>
        </w:rPr>
        <w:t>dem Strahlungsartspezifischen Wichtungsfaktor w</w:t>
      </w:r>
      <w:r w:rsidR="00234263">
        <w:rPr>
          <w:i/>
          <w:iCs/>
          <w:color w:val="FF0000"/>
          <w:sz w:val="22"/>
          <w:szCs w:val="22"/>
          <w:vertAlign w:val="subscript"/>
        </w:rPr>
        <w:t>R</w:t>
      </w:r>
      <w:r w:rsidR="00234263">
        <w:rPr>
          <w:i/>
          <w:iCs/>
          <w:color w:val="FF0000"/>
          <w:sz w:val="22"/>
          <w:szCs w:val="22"/>
        </w:rPr>
        <w:t xml:space="preserve"> und dem </w:t>
      </w:r>
      <w:r w:rsidR="00FC7B6D">
        <w:rPr>
          <w:i/>
          <w:iCs/>
          <w:color w:val="FF0000"/>
          <w:sz w:val="22"/>
          <w:szCs w:val="22"/>
        </w:rPr>
        <w:t>Gewebespezifischen Wichtungsfaktor w</w:t>
      </w:r>
      <w:r w:rsidR="00FC7B6D">
        <w:rPr>
          <w:i/>
          <w:iCs/>
          <w:color w:val="FF0000"/>
          <w:sz w:val="22"/>
          <w:szCs w:val="22"/>
          <w:vertAlign w:val="subscript"/>
        </w:rPr>
        <w:t>T</w:t>
      </w:r>
      <w:r w:rsidR="00FC7B6D">
        <w:rPr>
          <w:i/>
          <w:iCs/>
          <w:color w:val="FF0000"/>
          <w:sz w:val="22"/>
          <w:szCs w:val="22"/>
        </w:rPr>
        <w:t xml:space="preserve">. </w:t>
      </w:r>
      <w:r w:rsidR="00DA33B3">
        <w:rPr>
          <w:i/>
          <w:iCs/>
          <w:color w:val="FF0000"/>
          <w:sz w:val="22"/>
          <w:szCs w:val="22"/>
        </w:rPr>
        <w:t xml:space="preserve">Sie berücksichtigt also die unterschiedliche biologische Wirkung der verschiedenen Strahlungsarten und die unterschiedliche </w:t>
      </w:r>
      <w:r w:rsidR="002E6C62">
        <w:rPr>
          <w:i/>
          <w:iCs/>
          <w:color w:val="FF0000"/>
          <w:sz w:val="22"/>
          <w:szCs w:val="22"/>
        </w:rPr>
        <w:t>Strahlungsempfindlichkeit von Gewebe.</w:t>
      </w:r>
      <w:r w:rsidR="00031307">
        <w:rPr>
          <w:i/>
          <w:iCs/>
          <w:color w:val="FF0000"/>
          <w:sz w:val="22"/>
          <w:szCs w:val="22"/>
        </w:rPr>
        <w:t xml:space="preserve"> Sie dient zur Bewertung des Risikos für das Auftreten stochastischer Strahlenschäden. </w:t>
      </w:r>
      <w:r w:rsidR="002E6C62">
        <w:rPr>
          <w:i/>
          <w:iCs/>
          <w:color w:val="FF0000"/>
          <w:sz w:val="22"/>
          <w:szCs w:val="22"/>
        </w:rPr>
        <w:t xml:space="preserve"> </w:t>
      </w:r>
      <w:r w:rsidR="00031307">
        <w:rPr>
          <w:i/>
          <w:iCs/>
          <w:color w:val="FF0000"/>
          <w:sz w:val="22"/>
          <w:szCs w:val="22"/>
        </w:rPr>
        <w:t>[Sv]</w:t>
      </w:r>
    </w:p>
    <w:p w14:paraId="212F8F35" w14:textId="30B33A30" w:rsidR="007605E9" w:rsidRPr="00FC7B6D" w:rsidRDefault="007605E9" w:rsidP="007605E9">
      <w:pPr>
        <w:pStyle w:val="Default"/>
        <w:ind w:left="708"/>
        <w:rPr>
          <w:i/>
          <w:iCs/>
          <w:color w:val="FF0000"/>
          <w:sz w:val="22"/>
          <w:szCs w:val="22"/>
        </w:rPr>
      </w:pPr>
    </w:p>
    <w:p w14:paraId="22E0D36C" w14:textId="77777777" w:rsidR="00B3489C" w:rsidRDefault="00B3489C" w:rsidP="00B3489C">
      <w:pPr>
        <w:pStyle w:val="Default"/>
      </w:pPr>
    </w:p>
    <w:p w14:paraId="261BA091" w14:textId="6926DE20" w:rsidR="00B3489C" w:rsidRDefault="00B3489C" w:rsidP="00204864">
      <w:pPr>
        <w:pStyle w:val="Default"/>
        <w:numPr>
          <w:ilvl w:val="0"/>
          <w:numId w:val="2"/>
        </w:numPr>
        <w:spacing w:after="37"/>
        <w:rPr>
          <w:sz w:val="22"/>
          <w:szCs w:val="22"/>
        </w:rPr>
      </w:pPr>
      <w:r>
        <w:rPr>
          <w:b/>
          <w:bCs/>
          <w:sz w:val="22"/>
          <w:szCs w:val="22"/>
        </w:rPr>
        <w:t xml:space="preserve">Ein Patient wird in Rückenlage mit einem Stehfeld (6MV Photonen) seitlich bestrahlt. Der Durchmesser betrage 30cm und der Dosierungspunkt liegt in der Mitte, also in 15cm Tiefe. Die Dosis im Dosierungspunkt beträgt 2Gy. </w:t>
      </w:r>
    </w:p>
    <w:p w14:paraId="0CEB9559" w14:textId="1C8F96B2" w:rsidR="00B3489C" w:rsidRDefault="00B3489C" w:rsidP="00204864">
      <w:pPr>
        <w:pStyle w:val="Default"/>
        <w:numPr>
          <w:ilvl w:val="0"/>
          <w:numId w:val="7"/>
        </w:numPr>
        <w:rPr>
          <w:sz w:val="22"/>
          <w:szCs w:val="22"/>
        </w:rPr>
      </w:pPr>
      <w:r>
        <w:rPr>
          <w:b/>
          <w:bCs/>
          <w:sz w:val="22"/>
          <w:szCs w:val="22"/>
        </w:rPr>
        <w:t xml:space="preserve">Wie hoch ist zum einen in etwa die Maximaldosis und wie hoch die Austrittsdosis? </w:t>
      </w:r>
    </w:p>
    <w:p w14:paraId="58988DD4" w14:textId="456F11FE" w:rsidR="00B3489C" w:rsidRDefault="00B3489C" w:rsidP="00B3489C">
      <w:pPr>
        <w:pStyle w:val="Default"/>
      </w:pPr>
    </w:p>
    <w:p w14:paraId="51120AC0" w14:textId="5B36AFC5" w:rsidR="00031307" w:rsidRPr="00031307" w:rsidRDefault="00031307" w:rsidP="00031307">
      <w:pPr>
        <w:pStyle w:val="Default"/>
        <w:ind w:left="708"/>
        <w:rPr>
          <w:i/>
          <w:iCs/>
          <w:color w:val="FF0000"/>
          <w:sz w:val="22"/>
          <w:szCs w:val="22"/>
        </w:rPr>
      </w:pPr>
      <w:r w:rsidRPr="00031307">
        <w:rPr>
          <w:i/>
          <w:iCs/>
          <w:color w:val="FF0000"/>
          <w:sz w:val="22"/>
          <w:szCs w:val="22"/>
        </w:rPr>
        <w:t>Dosis in 10 cm Tiefe: etwa 67% der Maximaldosis bei 6 MV Photonen</w:t>
      </w:r>
    </w:p>
    <w:p w14:paraId="74A30903" w14:textId="5C01F819" w:rsidR="00031307" w:rsidRPr="00031307" w:rsidRDefault="00031307" w:rsidP="00031307">
      <w:pPr>
        <w:pStyle w:val="Default"/>
        <w:ind w:left="708"/>
        <w:rPr>
          <w:i/>
          <w:iCs/>
          <w:color w:val="FF0000"/>
          <w:sz w:val="22"/>
          <w:szCs w:val="22"/>
        </w:rPr>
      </w:pPr>
      <w:r w:rsidRPr="00031307">
        <w:rPr>
          <w:i/>
          <w:iCs/>
          <w:color w:val="FF0000"/>
          <w:sz w:val="22"/>
          <w:szCs w:val="22"/>
        </w:rPr>
        <w:t>Dosis in 20 cm Tiefe: etwa 40% der Maximaldosis</w:t>
      </w:r>
    </w:p>
    <w:p w14:paraId="5297C7A0" w14:textId="6EBB9E19" w:rsidR="00031307" w:rsidRPr="00031307" w:rsidRDefault="00031307" w:rsidP="00031307">
      <w:pPr>
        <w:pStyle w:val="Default"/>
        <w:numPr>
          <w:ilvl w:val="0"/>
          <w:numId w:val="9"/>
        </w:numPr>
        <w:rPr>
          <w:i/>
          <w:iCs/>
          <w:color w:val="FF0000"/>
          <w:sz w:val="22"/>
          <w:szCs w:val="22"/>
        </w:rPr>
      </w:pPr>
      <w:r w:rsidRPr="00031307">
        <w:rPr>
          <w:i/>
          <w:iCs/>
          <w:color w:val="FF0000"/>
          <w:sz w:val="22"/>
          <w:szCs w:val="22"/>
        </w:rPr>
        <w:t>In 15 cm Tiefe etwa 53 % der Maximaldosis</w:t>
      </w:r>
    </w:p>
    <w:p w14:paraId="2EAD1759" w14:textId="08C453EC" w:rsidR="00031307" w:rsidRDefault="00031307" w:rsidP="00031307">
      <w:pPr>
        <w:pStyle w:val="Default"/>
        <w:numPr>
          <w:ilvl w:val="0"/>
          <w:numId w:val="9"/>
        </w:numPr>
        <w:rPr>
          <w:i/>
          <w:iCs/>
          <w:color w:val="FF0000"/>
          <w:sz w:val="22"/>
          <w:szCs w:val="22"/>
        </w:rPr>
      </w:pPr>
      <w:r w:rsidRPr="00031307">
        <w:rPr>
          <w:i/>
          <w:iCs/>
          <w:color w:val="FF0000"/>
          <w:sz w:val="22"/>
          <w:szCs w:val="22"/>
        </w:rPr>
        <w:t>D</w:t>
      </w:r>
      <w:r w:rsidRPr="00031307">
        <w:rPr>
          <w:i/>
          <w:iCs/>
          <w:color w:val="FF0000"/>
          <w:sz w:val="22"/>
          <w:szCs w:val="22"/>
          <w:vertAlign w:val="subscript"/>
        </w:rPr>
        <w:t>max</w:t>
      </w:r>
      <w:r w:rsidRPr="00031307">
        <w:rPr>
          <w:i/>
          <w:iCs/>
          <w:color w:val="FF0000"/>
          <w:sz w:val="22"/>
          <w:szCs w:val="22"/>
        </w:rPr>
        <w:t xml:space="preserve"> =</w:t>
      </w:r>
      <w:r>
        <w:rPr>
          <w:i/>
          <w:iCs/>
          <w:color w:val="FF0000"/>
          <w:sz w:val="22"/>
          <w:szCs w:val="22"/>
        </w:rPr>
        <w:t xml:space="preserve"> 3,77 Gy</w:t>
      </w:r>
    </w:p>
    <w:p w14:paraId="6ED43B0E" w14:textId="44BCE477" w:rsidR="00031307" w:rsidRDefault="00031307" w:rsidP="00031307">
      <w:pPr>
        <w:pStyle w:val="Default"/>
        <w:ind w:left="708"/>
        <w:rPr>
          <w:i/>
          <w:iCs/>
          <w:color w:val="FF0000"/>
          <w:sz w:val="22"/>
          <w:szCs w:val="22"/>
        </w:rPr>
      </w:pPr>
      <w:r>
        <w:rPr>
          <w:i/>
          <w:iCs/>
          <w:color w:val="FF0000"/>
          <w:sz w:val="22"/>
          <w:szCs w:val="22"/>
        </w:rPr>
        <w:t>Dosis in 30 cm Tiefe: 13 % der Maximaldosis</w:t>
      </w:r>
    </w:p>
    <w:p w14:paraId="1D958CE3" w14:textId="601F3097" w:rsidR="00031307" w:rsidRPr="00031307" w:rsidRDefault="00031307" w:rsidP="00031307">
      <w:pPr>
        <w:pStyle w:val="Default"/>
        <w:numPr>
          <w:ilvl w:val="0"/>
          <w:numId w:val="9"/>
        </w:numPr>
        <w:rPr>
          <w:i/>
          <w:iCs/>
          <w:color w:val="FF0000"/>
          <w:sz w:val="22"/>
          <w:szCs w:val="22"/>
        </w:rPr>
      </w:pPr>
      <w:r>
        <w:rPr>
          <w:i/>
          <w:iCs/>
          <w:color w:val="FF0000"/>
          <w:sz w:val="22"/>
          <w:szCs w:val="22"/>
        </w:rPr>
        <w:t>Austrittsdosis = 0,49 Gy</w:t>
      </w:r>
    </w:p>
    <w:p w14:paraId="1459DBB0" w14:textId="77777777" w:rsidR="00031307" w:rsidRDefault="00031307" w:rsidP="00031307">
      <w:pPr>
        <w:pStyle w:val="Default"/>
        <w:ind w:left="708"/>
      </w:pPr>
    </w:p>
    <w:p w14:paraId="1287780B" w14:textId="2797EA8C" w:rsidR="00B3489C" w:rsidRPr="00031307" w:rsidRDefault="00B3489C" w:rsidP="00204864">
      <w:pPr>
        <w:pStyle w:val="Default"/>
        <w:numPr>
          <w:ilvl w:val="0"/>
          <w:numId w:val="7"/>
        </w:numPr>
      </w:pPr>
      <w:r>
        <w:rPr>
          <w:b/>
          <w:bCs/>
          <w:sz w:val="22"/>
          <w:szCs w:val="22"/>
        </w:rPr>
        <w:t xml:space="preserve">Warum ist die Austrittsdosis etwas niedriger im Vergleich zur Messung im Wasserphantom, in dem der Tiefendosisverlauf bis 40cm Tiefe gemessen wurde? </w:t>
      </w:r>
    </w:p>
    <w:p w14:paraId="0A0DC099" w14:textId="4CA268DA" w:rsidR="00031307" w:rsidRDefault="00031307" w:rsidP="00031307">
      <w:pPr>
        <w:pStyle w:val="Default"/>
        <w:rPr>
          <w:b/>
          <w:bCs/>
          <w:sz w:val="22"/>
          <w:szCs w:val="22"/>
        </w:rPr>
      </w:pPr>
    </w:p>
    <w:p w14:paraId="0D9D40AD" w14:textId="4AAFCCBD" w:rsidR="00031307" w:rsidRPr="00031307" w:rsidRDefault="00031307" w:rsidP="00031307">
      <w:pPr>
        <w:pStyle w:val="Default"/>
        <w:ind w:left="708"/>
        <w:rPr>
          <w:i/>
          <w:iCs/>
          <w:color w:val="FF0000"/>
        </w:rPr>
      </w:pPr>
      <w:r>
        <w:rPr>
          <w:i/>
          <w:iCs/>
          <w:color w:val="FF0000"/>
          <w:sz w:val="22"/>
          <w:szCs w:val="22"/>
        </w:rPr>
        <w:t>Bei der Austrittdosis tritt fast keine Rückstreuung aus der Materie hinter dem Patienten (Luft) auf. Im Wasserphantom ist hingegen Rückstreuung durch das Wasser, oder die Plexiglaswand vorhanden und erhöht die Tiefendosis in 40cm Tiefe</w:t>
      </w:r>
    </w:p>
    <w:p w14:paraId="39CEB127" w14:textId="77777777" w:rsidR="00B3489C" w:rsidRPr="00B3489C" w:rsidRDefault="00B3489C" w:rsidP="00B3489C">
      <w:pPr>
        <w:numPr>
          <w:ilvl w:val="0"/>
          <w:numId w:val="4"/>
        </w:numPr>
        <w:autoSpaceDE w:val="0"/>
        <w:autoSpaceDN w:val="0"/>
        <w:adjustRightInd w:val="0"/>
        <w:spacing w:after="0" w:line="240" w:lineRule="auto"/>
        <w:rPr>
          <w:rFonts w:ascii="Calibri" w:hAnsi="Calibri" w:cs="Calibri"/>
          <w:color w:val="000000"/>
        </w:rPr>
      </w:pPr>
    </w:p>
    <w:p w14:paraId="05EE5FDF" w14:textId="554E517D" w:rsidR="00B3489C" w:rsidRPr="00031307" w:rsidRDefault="00B3489C" w:rsidP="00204864">
      <w:pPr>
        <w:pStyle w:val="Default"/>
        <w:numPr>
          <w:ilvl w:val="0"/>
          <w:numId w:val="7"/>
        </w:numPr>
        <w:rPr>
          <w:sz w:val="22"/>
          <w:szCs w:val="22"/>
        </w:rPr>
      </w:pPr>
      <w:r w:rsidRPr="00B3489C">
        <w:rPr>
          <w:b/>
          <w:bCs/>
          <w:sz w:val="22"/>
          <w:szCs w:val="22"/>
        </w:rPr>
        <w:t xml:space="preserve">Wie verändern sich die Maximaldosis und die Austrittsdosis, wenn der Patient mit der gleichen Dosis, aber mit vergrößertem Fokus-Haut-Abstand bestrahlt wird (nur die Richtung, keine konkreten Zahlenwerte)? </w:t>
      </w:r>
    </w:p>
    <w:p w14:paraId="389918A7" w14:textId="64539C40" w:rsidR="00031307" w:rsidRDefault="00031307" w:rsidP="00031307">
      <w:pPr>
        <w:pStyle w:val="Default"/>
        <w:rPr>
          <w:b/>
          <w:bCs/>
          <w:sz w:val="22"/>
          <w:szCs w:val="22"/>
        </w:rPr>
      </w:pPr>
    </w:p>
    <w:p w14:paraId="769E3E6E" w14:textId="4C0BC6ED" w:rsidR="00031307" w:rsidRPr="00031307" w:rsidRDefault="00031307" w:rsidP="00031307">
      <w:pPr>
        <w:pStyle w:val="Default"/>
        <w:ind w:left="708"/>
        <w:rPr>
          <w:i/>
          <w:iCs/>
          <w:color w:val="FF0000"/>
          <w:sz w:val="22"/>
          <w:szCs w:val="22"/>
        </w:rPr>
      </w:pPr>
      <w:r>
        <w:rPr>
          <w:i/>
          <w:iCs/>
          <w:color w:val="FF0000"/>
          <w:sz w:val="22"/>
          <w:szCs w:val="22"/>
        </w:rPr>
        <w:t xml:space="preserve">Die </w:t>
      </w:r>
      <w:r w:rsidR="004E2DE1">
        <w:rPr>
          <w:i/>
          <w:iCs/>
          <w:color w:val="FF0000"/>
          <w:sz w:val="22"/>
          <w:szCs w:val="22"/>
        </w:rPr>
        <w:t>Maximaldosis verringert sich (wegen Dosierungspunkt), die Austrittsdosis verringert sich aufgrund des langsameren Dosisabfalls nach dem Dosismaximum bei vergrößertem FHA</w:t>
      </w:r>
    </w:p>
    <w:p w14:paraId="04A1B2C5" w14:textId="77777777" w:rsidR="00B3489C" w:rsidRDefault="00B3489C" w:rsidP="00B3489C">
      <w:pPr>
        <w:autoSpaceDE w:val="0"/>
        <w:autoSpaceDN w:val="0"/>
        <w:adjustRightInd w:val="0"/>
        <w:spacing w:after="0" w:line="240" w:lineRule="auto"/>
        <w:rPr>
          <w:rFonts w:ascii="Calibri" w:hAnsi="Calibri" w:cs="Calibri"/>
          <w:b/>
          <w:bCs/>
          <w:color w:val="000000"/>
        </w:rPr>
      </w:pPr>
    </w:p>
    <w:p w14:paraId="24E0AA42" w14:textId="7ADB5FB7" w:rsidR="00B3489C" w:rsidRDefault="00B3489C" w:rsidP="00204864">
      <w:pPr>
        <w:pStyle w:val="Listenabsatz"/>
        <w:numPr>
          <w:ilvl w:val="0"/>
          <w:numId w:val="2"/>
        </w:numPr>
        <w:autoSpaceDE w:val="0"/>
        <w:autoSpaceDN w:val="0"/>
        <w:adjustRightInd w:val="0"/>
        <w:spacing w:after="0" w:line="240" w:lineRule="auto"/>
        <w:rPr>
          <w:rFonts w:ascii="Calibri" w:hAnsi="Calibri" w:cs="Calibri"/>
          <w:b/>
          <w:bCs/>
          <w:color w:val="000000"/>
        </w:rPr>
      </w:pPr>
      <w:r w:rsidRPr="00204864">
        <w:rPr>
          <w:rFonts w:ascii="Calibri" w:hAnsi="Calibri" w:cs="Calibri"/>
          <w:b/>
          <w:bCs/>
          <w:color w:val="000000"/>
        </w:rPr>
        <w:t xml:space="preserve">Ein Patient wird zum einen mit einem Elektronenstehfeld der Energie 4MeV und zum anderen der Energie 15MeV bestrahlt, jeweils im Dosismaximum mit 2 Gy. Wie hoch ist in beiden Fällen in etwa die Dosis in diesen Tiefen (Dmax, R50, 4cm, 8cm)? </w:t>
      </w:r>
    </w:p>
    <w:p w14:paraId="4CF3E5B8" w14:textId="7B53519A" w:rsidR="004E2DE1" w:rsidRDefault="004E2DE1" w:rsidP="004E2DE1">
      <w:pPr>
        <w:autoSpaceDE w:val="0"/>
        <w:autoSpaceDN w:val="0"/>
        <w:adjustRightInd w:val="0"/>
        <w:spacing w:after="0" w:line="240" w:lineRule="auto"/>
        <w:rPr>
          <w:rFonts w:ascii="Calibri" w:hAnsi="Calibri" w:cs="Calibri"/>
          <w:b/>
          <w:bCs/>
          <w:color w:val="000000"/>
        </w:rPr>
      </w:pPr>
    </w:p>
    <w:p w14:paraId="466E814C" w14:textId="599B9443" w:rsidR="004E2DE1" w:rsidRDefault="004E2DE1" w:rsidP="004E2DE1">
      <w:pPr>
        <w:autoSpaceDE w:val="0"/>
        <w:autoSpaceDN w:val="0"/>
        <w:adjustRightInd w:val="0"/>
        <w:spacing w:after="0" w:line="240" w:lineRule="auto"/>
        <w:ind w:left="708"/>
        <w:rPr>
          <w:rFonts w:ascii="Calibri" w:hAnsi="Calibri" w:cs="Calibri"/>
          <w:i/>
          <w:iCs/>
          <w:color w:val="FF0000"/>
        </w:rPr>
      </w:pPr>
      <w:r>
        <w:rPr>
          <w:rFonts w:ascii="Calibri" w:hAnsi="Calibri" w:cs="Calibri"/>
          <w:i/>
          <w:iCs/>
          <w:color w:val="FF0000"/>
        </w:rPr>
        <w:t>Dmax= 2Gy (beide)</w:t>
      </w:r>
    </w:p>
    <w:p w14:paraId="4093ACC0" w14:textId="74E5A495" w:rsidR="004E2DE1" w:rsidRDefault="004E2DE1" w:rsidP="004E2DE1">
      <w:pPr>
        <w:autoSpaceDE w:val="0"/>
        <w:autoSpaceDN w:val="0"/>
        <w:adjustRightInd w:val="0"/>
        <w:spacing w:after="0" w:line="240" w:lineRule="auto"/>
        <w:ind w:left="708"/>
        <w:rPr>
          <w:rFonts w:ascii="Calibri" w:hAnsi="Calibri" w:cs="Calibri"/>
          <w:i/>
          <w:iCs/>
          <w:color w:val="FF0000"/>
        </w:rPr>
      </w:pPr>
      <w:r>
        <w:rPr>
          <w:rFonts w:ascii="Calibri" w:hAnsi="Calibri" w:cs="Calibri"/>
          <w:i/>
          <w:iCs/>
          <w:color w:val="FF0000"/>
        </w:rPr>
        <w:t>R</w:t>
      </w:r>
      <w:r>
        <w:rPr>
          <w:rFonts w:ascii="Calibri" w:hAnsi="Calibri" w:cs="Calibri"/>
          <w:i/>
          <w:iCs/>
          <w:color w:val="FF0000"/>
          <w:vertAlign w:val="subscript"/>
        </w:rPr>
        <w:t>50</w:t>
      </w:r>
      <w:r>
        <w:rPr>
          <w:rFonts w:ascii="Calibri" w:hAnsi="Calibri" w:cs="Calibri"/>
          <w:i/>
          <w:iCs/>
          <w:color w:val="FF0000"/>
        </w:rPr>
        <w:t xml:space="preserve"> = 1Gy (beide)</w:t>
      </w:r>
    </w:p>
    <w:p w14:paraId="076F7A78" w14:textId="64397003" w:rsidR="004E2DE1" w:rsidRDefault="004E2DE1" w:rsidP="004E2DE1">
      <w:pPr>
        <w:autoSpaceDE w:val="0"/>
        <w:autoSpaceDN w:val="0"/>
        <w:adjustRightInd w:val="0"/>
        <w:spacing w:after="0" w:line="240" w:lineRule="auto"/>
        <w:ind w:left="708"/>
        <w:rPr>
          <w:rFonts w:ascii="Calibri" w:hAnsi="Calibri" w:cs="Calibri"/>
          <w:i/>
          <w:iCs/>
          <w:color w:val="FF0000"/>
        </w:rPr>
      </w:pPr>
      <w:r>
        <w:rPr>
          <w:rFonts w:ascii="Calibri" w:hAnsi="Calibri" w:cs="Calibri"/>
          <w:i/>
          <w:iCs/>
          <w:color w:val="FF0000"/>
        </w:rPr>
        <w:t>4 cm = Bremsstrahluntergrund, ca 90% der Maximaldosis (therapeutische Reichweite bei 5cm)</w:t>
      </w:r>
    </w:p>
    <w:p w14:paraId="40BF57AB" w14:textId="5DC74774" w:rsidR="004E2DE1" w:rsidRPr="004E2DE1" w:rsidRDefault="004E2DE1" w:rsidP="004E2DE1">
      <w:pPr>
        <w:autoSpaceDE w:val="0"/>
        <w:autoSpaceDN w:val="0"/>
        <w:adjustRightInd w:val="0"/>
        <w:spacing w:after="0" w:line="240" w:lineRule="auto"/>
        <w:ind w:left="708"/>
        <w:rPr>
          <w:rFonts w:ascii="Calibri" w:hAnsi="Calibri" w:cs="Calibri"/>
          <w:i/>
          <w:iCs/>
          <w:color w:val="FF0000"/>
        </w:rPr>
      </w:pPr>
      <w:r>
        <w:rPr>
          <w:rFonts w:ascii="Calibri" w:hAnsi="Calibri" w:cs="Calibri"/>
          <w:i/>
          <w:iCs/>
          <w:color w:val="FF0000"/>
        </w:rPr>
        <w:t>8 cm = (Bremsstrahlungs-)Untergrund (beide)</w:t>
      </w:r>
    </w:p>
    <w:p w14:paraId="6EAF367B" w14:textId="77777777" w:rsidR="00B3489C" w:rsidRPr="00B3489C" w:rsidRDefault="00B3489C" w:rsidP="00B3489C">
      <w:pPr>
        <w:autoSpaceDE w:val="0"/>
        <w:autoSpaceDN w:val="0"/>
        <w:adjustRightInd w:val="0"/>
        <w:spacing w:after="0" w:line="240" w:lineRule="auto"/>
        <w:rPr>
          <w:rFonts w:ascii="Calibri" w:hAnsi="Calibri" w:cs="Calibri"/>
          <w:color w:val="000000"/>
          <w:sz w:val="24"/>
          <w:szCs w:val="24"/>
        </w:rPr>
      </w:pPr>
    </w:p>
    <w:p w14:paraId="52CA0C49" w14:textId="0A8B12D0" w:rsidR="00B3489C" w:rsidRPr="004E2DE1" w:rsidRDefault="00B3489C" w:rsidP="00204864">
      <w:pPr>
        <w:pStyle w:val="Listenabsatz"/>
        <w:numPr>
          <w:ilvl w:val="0"/>
          <w:numId w:val="2"/>
        </w:numPr>
        <w:autoSpaceDE w:val="0"/>
        <w:autoSpaceDN w:val="0"/>
        <w:adjustRightInd w:val="0"/>
        <w:spacing w:after="0" w:line="240" w:lineRule="auto"/>
        <w:rPr>
          <w:rFonts w:ascii="Calibri" w:hAnsi="Calibri" w:cs="Calibri"/>
          <w:color w:val="000000"/>
        </w:rPr>
      </w:pPr>
      <w:r w:rsidRPr="00204864">
        <w:rPr>
          <w:rFonts w:ascii="Calibri" w:hAnsi="Calibri" w:cs="Calibri"/>
          <w:b/>
          <w:bCs/>
          <w:color w:val="000000"/>
        </w:rPr>
        <w:t xml:space="preserve">Beschreibe kurz (Stichpunkte reichen, keine detaillierte Beschreibung der einzelnen Punkte), wie die Kalibrierung des Dosismonitors durchgeführt wird. An welcher „Schraube“ dreht man, wenn nachgestellt werden muss? </w:t>
      </w:r>
    </w:p>
    <w:p w14:paraId="145D625F" w14:textId="4E459C7A" w:rsidR="004E2DE1" w:rsidRDefault="004E2DE1" w:rsidP="004E2DE1">
      <w:pPr>
        <w:autoSpaceDE w:val="0"/>
        <w:autoSpaceDN w:val="0"/>
        <w:adjustRightInd w:val="0"/>
        <w:spacing w:after="0" w:line="240" w:lineRule="auto"/>
        <w:rPr>
          <w:rFonts w:ascii="Calibri" w:hAnsi="Calibri" w:cs="Calibri"/>
          <w:color w:val="000000"/>
        </w:rPr>
      </w:pPr>
    </w:p>
    <w:p w14:paraId="5F90C311" w14:textId="2D0D7B50" w:rsidR="004E2DE1" w:rsidRPr="004E2DE1" w:rsidRDefault="004E2DE1" w:rsidP="004E2DE1">
      <w:pPr>
        <w:autoSpaceDE w:val="0"/>
        <w:autoSpaceDN w:val="0"/>
        <w:adjustRightInd w:val="0"/>
        <w:spacing w:after="0" w:line="240" w:lineRule="auto"/>
        <w:ind w:left="708"/>
        <w:rPr>
          <w:rFonts w:ascii="Calibri" w:hAnsi="Calibri" w:cs="Calibri"/>
          <w:i/>
          <w:iCs/>
          <w:color w:val="FF0000"/>
        </w:rPr>
      </w:pPr>
      <w:r>
        <w:rPr>
          <w:rFonts w:ascii="Calibri" w:hAnsi="Calibri" w:cs="Calibri"/>
          <w:i/>
          <w:iCs/>
          <w:color w:val="FF0000"/>
        </w:rPr>
        <w:t>Überprüfung der Dosis unter Referenzbedingungen für beispielsweise 100 MU (sollte unter Berücksichtigung aller Korrekturfaktoren 1 Gy ergeben). Falls dem nicht so ist müssen die Kalibrierfaktoren des Dosismonitorsystems (DoseRef 1 und DoseRef2) umgestellt werden. Wird eine zu geringe Dosis erreicht, werden die DoseRef-Werte verringert, ist die erreichte Dosis zu hoch, so werden die DoseRef-Werte erhöht</w:t>
      </w:r>
      <w:r w:rsidR="00812775">
        <w:rPr>
          <w:rFonts w:ascii="Calibri" w:hAnsi="Calibri" w:cs="Calibri"/>
          <w:i/>
          <w:iCs/>
          <w:color w:val="FF0000"/>
        </w:rPr>
        <w:t>. (Einstellung der Empfindlichkeit des Dosismonitorsystems)</w:t>
      </w:r>
    </w:p>
    <w:p w14:paraId="652DBC4D" w14:textId="77777777" w:rsidR="00B3489C" w:rsidRPr="00B3489C" w:rsidRDefault="00B3489C" w:rsidP="00B3489C">
      <w:pPr>
        <w:autoSpaceDE w:val="0"/>
        <w:autoSpaceDN w:val="0"/>
        <w:adjustRightInd w:val="0"/>
        <w:spacing w:after="0" w:line="240" w:lineRule="auto"/>
        <w:rPr>
          <w:rFonts w:ascii="Calibri" w:hAnsi="Calibri" w:cs="Calibri"/>
          <w:color w:val="000000"/>
          <w:sz w:val="24"/>
          <w:szCs w:val="24"/>
        </w:rPr>
      </w:pPr>
    </w:p>
    <w:p w14:paraId="269DBE46" w14:textId="61C40FD6" w:rsidR="00B3489C" w:rsidRPr="004E2DE1" w:rsidRDefault="00B3489C" w:rsidP="00204864">
      <w:pPr>
        <w:pStyle w:val="Listenabsatz"/>
        <w:numPr>
          <w:ilvl w:val="0"/>
          <w:numId w:val="2"/>
        </w:numPr>
        <w:autoSpaceDE w:val="0"/>
        <w:autoSpaceDN w:val="0"/>
        <w:adjustRightInd w:val="0"/>
        <w:spacing w:after="0" w:line="240" w:lineRule="auto"/>
        <w:rPr>
          <w:rFonts w:ascii="Calibri" w:hAnsi="Calibri" w:cs="Calibri"/>
          <w:color w:val="000000"/>
        </w:rPr>
      </w:pPr>
      <w:r w:rsidRPr="00204864">
        <w:rPr>
          <w:rFonts w:ascii="Calibri" w:hAnsi="Calibri" w:cs="Calibri"/>
          <w:b/>
          <w:bCs/>
          <w:color w:val="000000"/>
        </w:rPr>
        <w:t xml:space="preserve">Welche Bedeutung haben die folgenden Begriffe: Äquivalentdosis, Messgrößen und Schutzgrößen nach DIN 6814-3 mit dem Titel: Begriffe in der radiologischen Technik, Teil 3 Dosimetrie? </w:t>
      </w:r>
    </w:p>
    <w:p w14:paraId="39A074D6" w14:textId="1861C0E2" w:rsidR="004E2DE1" w:rsidRDefault="004E2DE1" w:rsidP="004E2DE1">
      <w:pPr>
        <w:autoSpaceDE w:val="0"/>
        <w:autoSpaceDN w:val="0"/>
        <w:adjustRightInd w:val="0"/>
        <w:spacing w:after="0" w:line="240" w:lineRule="auto"/>
        <w:ind w:left="708"/>
        <w:rPr>
          <w:rFonts w:ascii="Calibri" w:hAnsi="Calibri" w:cs="Calibri"/>
          <w:color w:val="000000"/>
        </w:rPr>
      </w:pPr>
    </w:p>
    <w:p w14:paraId="4DFA68A9" w14:textId="23519A2A" w:rsidR="004E2DE1" w:rsidRDefault="00812775" w:rsidP="004E2DE1">
      <w:pPr>
        <w:autoSpaceDE w:val="0"/>
        <w:autoSpaceDN w:val="0"/>
        <w:adjustRightInd w:val="0"/>
        <w:spacing w:after="0" w:line="240" w:lineRule="auto"/>
        <w:ind w:left="708"/>
        <w:rPr>
          <w:rFonts w:ascii="Calibri" w:hAnsi="Calibri" w:cs="Calibri"/>
          <w:i/>
          <w:iCs/>
          <w:color w:val="FF0000"/>
        </w:rPr>
      </w:pPr>
      <w:r>
        <w:rPr>
          <w:rFonts w:ascii="Calibri" w:hAnsi="Calibri" w:cs="Calibri"/>
          <w:i/>
          <w:iCs/>
          <w:color w:val="FF0000"/>
        </w:rPr>
        <w:t>Äquivalentdosis: Mithilfe der unterschiedlichen biologischen Wirkung gewichtete Energiedosis. H=w</w:t>
      </w:r>
      <w:r>
        <w:rPr>
          <w:rFonts w:ascii="Calibri" w:hAnsi="Calibri" w:cs="Calibri"/>
          <w:i/>
          <w:iCs/>
          <w:color w:val="FF0000"/>
          <w:vertAlign w:val="subscript"/>
        </w:rPr>
        <w:t>R</w:t>
      </w:r>
      <w:r>
        <w:rPr>
          <w:rFonts w:ascii="Calibri" w:hAnsi="Calibri" w:cs="Calibri"/>
          <w:i/>
          <w:iCs/>
          <w:color w:val="FF0000"/>
        </w:rPr>
        <w:t>*R als Summe über alle verwendeten Strahlungsarten. Einheit: Sv</w:t>
      </w:r>
    </w:p>
    <w:p w14:paraId="0C94014C" w14:textId="1EBFC7BC" w:rsidR="00812775" w:rsidRDefault="00812775" w:rsidP="004E2DE1">
      <w:pPr>
        <w:autoSpaceDE w:val="0"/>
        <w:autoSpaceDN w:val="0"/>
        <w:adjustRightInd w:val="0"/>
        <w:spacing w:after="0" w:line="240" w:lineRule="auto"/>
        <w:ind w:left="708"/>
        <w:rPr>
          <w:rFonts w:ascii="Calibri" w:hAnsi="Calibri" w:cs="Calibri"/>
          <w:i/>
          <w:iCs/>
          <w:color w:val="FF0000"/>
        </w:rPr>
      </w:pPr>
      <w:r>
        <w:rPr>
          <w:rFonts w:ascii="Calibri" w:hAnsi="Calibri" w:cs="Calibri"/>
          <w:i/>
          <w:iCs/>
          <w:color w:val="FF0000"/>
        </w:rPr>
        <w:t>Messgrößen: physikalische Größen, der die Messung gilt, z.B. Personendosis, Oberflächendosis …</w:t>
      </w:r>
    </w:p>
    <w:p w14:paraId="19BF663A" w14:textId="55C194FA" w:rsidR="00812775" w:rsidRPr="00812775" w:rsidRDefault="00812775" w:rsidP="004E2DE1">
      <w:pPr>
        <w:autoSpaceDE w:val="0"/>
        <w:autoSpaceDN w:val="0"/>
        <w:adjustRightInd w:val="0"/>
        <w:spacing w:after="0" w:line="240" w:lineRule="auto"/>
        <w:ind w:left="708"/>
        <w:rPr>
          <w:rFonts w:ascii="Calibri" w:hAnsi="Calibri" w:cs="Calibri"/>
          <w:i/>
          <w:iCs/>
          <w:color w:val="FF0000"/>
        </w:rPr>
      </w:pPr>
      <w:r>
        <w:rPr>
          <w:rFonts w:ascii="Calibri" w:hAnsi="Calibri" w:cs="Calibri"/>
          <w:i/>
          <w:iCs/>
          <w:color w:val="FF0000"/>
        </w:rPr>
        <w:t>Schutzgrößen: beschreiben Grenzwerte für z.B. unterschiedliche Körperregionen [Sv]</w:t>
      </w:r>
    </w:p>
    <w:p w14:paraId="6D94A1CB" w14:textId="77777777" w:rsidR="00B3489C" w:rsidRPr="00B3489C" w:rsidRDefault="00B3489C" w:rsidP="00B3489C">
      <w:pPr>
        <w:autoSpaceDE w:val="0"/>
        <w:autoSpaceDN w:val="0"/>
        <w:adjustRightInd w:val="0"/>
        <w:spacing w:after="0" w:line="240" w:lineRule="auto"/>
        <w:rPr>
          <w:rFonts w:ascii="Calibri" w:hAnsi="Calibri" w:cs="Calibri"/>
          <w:color w:val="000000"/>
          <w:sz w:val="24"/>
          <w:szCs w:val="24"/>
        </w:rPr>
      </w:pPr>
    </w:p>
    <w:p w14:paraId="7A0FE5CC" w14:textId="3E5E3437" w:rsidR="00B3489C" w:rsidRPr="00812775" w:rsidRDefault="00B3489C" w:rsidP="00204864">
      <w:pPr>
        <w:pStyle w:val="Listenabsatz"/>
        <w:numPr>
          <w:ilvl w:val="0"/>
          <w:numId w:val="2"/>
        </w:numPr>
        <w:autoSpaceDE w:val="0"/>
        <w:autoSpaceDN w:val="0"/>
        <w:adjustRightInd w:val="0"/>
        <w:spacing w:after="0" w:line="240" w:lineRule="auto"/>
        <w:rPr>
          <w:rFonts w:ascii="Calibri" w:hAnsi="Calibri" w:cs="Calibri"/>
          <w:color w:val="000000"/>
        </w:rPr>
      </w:pPr>
      <w:r w:rsidRPr="00204864">
        <w:rPr>
          <w:rFonts w:ascii="Calibri" w:hAnsi="Calibri" w:cs="Calibri"/>
          <w:b/>
          <w:bCs/>
          <w:color w:val="000000"/>
        </w:rPr>
        <w:lastRenderedPageBreak/>
        <w:t xml:space="preserve">Skizziere in einer Grafik das Bremsvermögen dE/dx von Elektronen in Abhängigkeit von der Elektronenenergie bis zu Energien von ca. 20 MeV (nur relativer Verlauf) </w:t>
      </w:r>
    </w:p>
    <w:p w14:paraId="3F05EF4F" w14:textId="468E5344" w:rsidR="00812775" w:rsidRDefault="00812775" w:rsidP="00812775">
      <w:pPr>
        <w:autoSpaceDE w:val="0"/>
        <w:autoSpaceDN w:val="0"/>
        <w:adjustRightInd w:val="0"/>
        <w:spacing w:after="0" w:line="240" w:lineRule="auto"/>
        <w:rPr>
          <w:rFonts w:ascii="Calibri" w:hAnsi="Calibri" w:cs="Calibri"/>
          <w:color w:val="000000"/>
        </w:rPr>
      </w:pPr>
      <w:r>
        <w:rPr>
          <w:rFonts w:ascii="Calibri" w:hAnsi="Calibri" w:cs="Calibri"/>
          <w:noProof/>
          <w:color w:val="000000"/>
        </w:rPr>
        <mc:AlternateContent>
          <mc:Choice Requires="wpi">
            <w:drawing>
              <wp:anchor distT="0" distB="0" distL="114300" distR="114300" simplePos="0" relativeHeight="251646464" behindDoc="0" locked="0" layoutInCell="1" allowOverlap="1" wp14:anchorId="19401FDF" wp14:editId="5FB72EF2">
                <wp:simplePos x="0" y="0"/>
                <wp:positionH relativeFrom="column">
                  <wp:posOffset>2798216</wp:posOffset>
                </wp:positionH>
                <wp:positionV relativeFrom="paragraph">
                  <wp:posOffset>133001</wp:posOffset>
                </wp:positionV>
                <wp:extent cx="360" cy="360"/>
                <wp:effectExtent l="0" t="0" r="0" b="0"/>
                <wp:wrapNone/>
                <wp:docPr id="1" name="Freihand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00BA2C5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1" o:spid="_x0000_s1026" type="#_x0000_t75" style="position:absolute;margin-left:220pt;margin-top:10.1pt;width:.75pt;height:.75pt;z-index:25164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">
                <v:imagedata r:id="rId9" o:title=""/>
              </v:shape>
            </w:pict>
          </mc:Fallback>
        </mc:AlternateContent>
      </w:r>
    </w:p>
    <w:p w14:paraId="71E9D579" w14:textId="514C5FE0" w:rsidR="00812775" w:rsidRDefault="001455C2" w:rsidP="00812775">
      <w:pPr>
        <w:autoSpaceDE w:val="0"/>
        <w:autoSpaceDN w:val="0"/>
        <w:adjustRightInd w:val="0"/>
        <w:spacing w:after="0" w:line="240" w:lineRule="auto"/>
        <w:ind w:left="708"/>
        <w:rPr>
          <w:rFonts w:ascii="Calibri" w:hAnsi="Calibri" w:cs="Calibri"/>
          <w:color w:val="FF0000"/>
        </w:rPr>
      </w:pPr>
      <w:r>
        <w:rPr>
          <w:rFonts w:ascii="Calibri" w:hAnsi="Calibri" w:cs="Calibri"/>
          <w:noProof/>
          <w:color w:val="FF0000"/>
        </w:rPr>
        <mc:AlternateContent>
          <mc:Choice Requires="wps">
            <w:drawing>
              <wp:anchor distT="0" distB="0" distL="114300" distR="114300" simplePos="0" relativeHeight="251653632" behindDoc="0" locked="0" layoutInCell="1" allowOverlap="1" wp14:anchorId="47C195C6" wp14:editId="02A1E46B">
                <wp:simplePos x="0" y="0"/>
                <wp:positionH relativeFrom="column">
                  <wp:posOffset>3361586</wp:posOffset>
                </wp:positionH>
                <wp:positionV relativeFrom="paragraph">
                  <wp:posOffset>130281</wp:posOffset>
                </wp:positionV>
                <wp:extent cx="618777" cy="2212"/>
                <wp:effectExtent l="41592" t="34608" r="70803" b="32702"/>
                <wp:wrapNone/>
                <wp:docPr id="5" name="Gerader Verbinder 5"/>
                <wp:cNvGraphicFramePr/>
                <a:graphic xmlns:a="http://schemas.openxmlformats.org/drawingml/2006/main">
                  <a:graphicData uri="http://schemas.microsoft.com/office/word/2010/wordprocessingShape">
                    <wps:wsp>
                      <wps:cNvCnPr/>
                      <wps:spPr>
                        <a:xfrm rot="5400000" flipV="1">
                          <a:off x="0" y="0"/>
                          <a:ext cx="618777" cy="2212"/>
                        </a:xfrm>
                        <a:prstGeom prst="line">
                          <a:avLst/>
                        </a:prstGeom>
                        <a:solidFill>
                          <a:srgbClr val="000000">
                            <a:alpha val="75000"/>
                          </a:srgbClr>
                        </a:solidFill>
                        <a:ln w="9000">
                          <a:solidFill>
                            <a:srgbClr val="000000"/>
                          </a:solidFill>
                          <a:head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5A1C68" id="Gerader Verbinder 5" o:spid="_x0000_s1026" style="position:absolute;rotation:-90;flip:y;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7pt,10.25pt" to="313.4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" filled="t" fillcolor="black" strokeweight=".25mm">
                <v:fill opacity="49087f"/>
                <v:stroke startarrow="open" joinstyle="miter"/>
              </v:line>
            </w:pict>
          </mc:Fallback>
        </mc:AlternateContent>
      </w:r>
      <w:r>
        <w:rPr>
          <w:rFonts w:ascii="Calibri" w:hAnsi="Calibri" w:cs="Calibri"/>
          <w:color w:val="FF0000"/>
        </w:rPr>
        <w:t>Hohes Bremsvermögen bei sehr geringen Energien</w:t>
      </w:r>
    </w:p>
    <w:p w14:paraId="0EB296D3" w14:textId="557053D1" w:rsidR="00812775" w:rsidRDefault="001455C2" w:rsidP="00812775">
      <w:pPr>
        <w:autoSpaceDE w:val="0"/>
        <w:autoSpaceDN w:val="0"/>
        <w:adjustRightInd w:val="0"/>
        <w:spacing w:after="0" w:line="240" w:lineRule="auto"/>
        <w:ind w:left="708"/>
        <w:rPr>
          <w:rFonts w:ascii="Calibri" w:hAnsi="Calibri" w:cs="Calibri"/>
          <w:color w:val="FF0000"/>
        </w:rPr>
      </w:pPr>
      <w:r>
        <w:rPr>
          <w:rFonts w:ascii="Calibri" w:hAnsi="Calibri" w:cs="Calibri"/>
          <w:noProof/>
          <w:color w:val="FF0000"/>
        </w:rPr>
        <mc:AlternateContent>
          <mc:Choice Requires="wpi">
            <w:drawing>
              <wp:anchor distT="0" distB="0" distL="114300" distR="114300" simplePos="0" relativeHeight="251663872" behindDoc="0" locked="0" layoutInCell="1" allowOverlap="1" wp14:anchorId="76F08B12" wp14:editId="240DBD7E">
                <wp:simplePos x="0" y="0"/>
                <wp:positionH relativeFrom="column">
                  <wp:posOffset>3669030</wp:posOffset>
                </wp:positionH>
                <wp:positionV relativeFrom="paragraph">
                  <wp:posOffset>-227330</wp:posOffset>
                </wp:positionV>
                <wp:extent cx="529228" cy="475615"/>
                <wp:effectExtent l="38100" t="38100" r="42545" b="38735"/>
                <wp:wrapNone/>
                <wp:docPr id="11" name="Freihand 11"/>
                <wp:cNvGraphicFramePr/>
                <a:graphic xmlns:a="http://schemas.openxmlformats.org/drawingml/2006/main">
                  <a:graphicData uri="http://schemas.microsoft.com/office/word/2010/wordprocessingInk">
                    <w14:contentPart bwMode="auto" r:id="rId10">
                      <w14:nvContentPartPr>
                        <w14:cNvContentPartPr/>
                      </w14:nvContentPartPr>
                      <w14:xfrm>
                        <a:off x="0" y="0"/>
                        <a:ext cx="529228" cy="475615"/>
                      </w14:xfrm>
                    </w14:contentPart>
                  </a:graphicData>
                </a:graphic>
                <wp14:sizeRelH relativeFrom="margin">
                  <wp14:pctWidth>0</wp14:pctWidth>
                </wp14:sizeRelH>
                <wp14:sizeRelV relativeFrom="margin">
                  <wp14:pctHeight>0</wp14:pctHeight>
                </wp14:sizeRelV>
              </wp:anchor>
            </w:drawing>
          </mc:Choice>
          <mc:Fallback>
            <w:pict>
              <v:shape w14:anchorId="4E65A22B" id="Freihand 11" o:spid="_x0000_s1026" type="#_x0000_t75" style="position:absolute;margin-left:288.55pt;margin-top:-18.25pt;width:42.35pt;height:38.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">
                <v:imagedata r:id="rId11" o:title=""/>
              </v:shape>
            </w:pict>
          </mc:Fallback>
        </mc:AlternateContent>
      </w:r>
    </w:p>
    <w:p w14:paraId="5CC5E2B8" w14:textId="0230F5F5" w:rsidR="00812775" w:rsidRPr="00812775" w:rsidRDefault="001455C2" w:rsidP="00812775">
      <w:pPr>
        <w:autoSpaceDE w:val="0"/>
        <w:autoSpaceDN w:val="0"/>
        <w:adjustRightInd w:val="0"/>
        <w:spacing w:after="0" w:line="240" w:lineRule="auto"/>
        <w:ind w:left="708"/>
        <w:rPr>
          <w:rFonts w:ascii="Calibri" w:hAnsi="Calibri" w:cs="Calibri"/>
          <w:color w:val="FF0000"/>
        </w:rPr>
      </w:pPr>
      <w:r>
        <w:rPr>
          <w:rFonts w:ascii="Calibri" w:hAnsi="Calibri" w:cs="Calibri"/>
          <w:noProof/>
          <w:color w:val="FF0000"/>
        </w:rPr>
        <mc:AlternateContent>
          <mc:Choice Requires="wps">
            <w:drawing>
              <wp:anchor distT="0" distB="0" distL="114300" distR="114300" simplePos="0" relativeHeight="251659776" behindDoc="0" locked="0" layoutInCell="1" allowOverlap="1" wp14:anchorId="08A82319" wp14:editId="25D0936B">
                <wp:simplePos x="0" y="0"/>
                <wp:positionH relativeFrom="column">
                  <wp:posOffset>3659928</wp:posOffset>
                </wp:positionH>
                <wp:positionV relativeFrom="paragraph">
                  <wp:posOffset>106468</wp:posOffset>
                </wp:positionV>
                <wp:extent cx="952901" cy="6898"/>
                <wp:effectExtent l="0" t="76200" r="19050" b="107950"/>
                <wp:wrapNone/>
                <wp:docPr id="9" name="Gerader Verbinder 9"/>
                <wp:cNvGraphicFramePr/>
                <a:graphic xmlns:a="http://schemas.openxmlformats.org/drawingml/2006/main">
                  <a:graphicData uri="http://schemas.microsoft.com/office/word/2010/wordprocessingShape">
                    <wps:wsp>
                      <wps:cNvCnPr/>
                      <wps:spPr>
                        <a:xfrm flipV="1">
                          <a:off x="0" y="0"/>
                          <a:ext cx="952901" cy="6898"/>
                        </a:xfrm>
                        <a:prstGeom prst="line">
                          <a:avLst/>
                        </a:prstGeom>
                        <a:solidFill>
                          <a:srgbClr val="000000">
                            <a:alpha val="75000"/>
                          </a:srgbClr>
                        </a:solidFill>
                        <a:ln w="9000">
                          <a:solidFill>
                            <a:srgbClr val="00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4FDB3B" id="Gerader Verbinder 9"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2pt,8.4pt" to="363.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" filled="t" fillcolor="black" strokeweight=".25mm">
                <v:fill opacity="49087f"/>
                <v:stroke endarrow="open" joinstyle="miter"/>
              </v:line>
            </w:pict>
          </mc:Fallback>
        </mc:AlternateContent>
      </w:r>
    </w:p>
    <w:p w14:paraId="6E87C197" w14:textId="23616E3F" w:rsidR="00B3489C" w:rsidRPr="00B3489C" w:rsidRDefault="001455C2" w:rsidP="001455C2">
      <w:pPr>
        <w:tabs>
          <w:tab w:val="left" w:pos="3843"/>
        </w:tabs>
        <w:autoSpaceDE w:val="0"/>
        <w:autoSpaceDN w:val="0"/>
        <w:adjustRightInd w:val="0"/>
        <w:spacing w:after="0" w:line="240" w:lineRule="auto"/>
        <w:rPr>
          <w:rFonts w:ascii="Calibri" w:hAnsi="Calibri" w:cs="Calibri"/>
          <w:color w:val="000000"/>
          <w:sz w:val="24"/>
          <w:szCs w:val="24"/>
        </w:rPr>
      </w:pPr>
      <w:r>
        <w:rPr>
          <w:rFonts w:ascii="Calibri" w:hAnsi="Calibri" w:cs="Calibri"/>
          <w:noProof/>
          <w:color w:val="000000"/>
          <w:sz w:val="24"/>
          <w:szCs w:val="24"/>
        </w:rPr>
        <mc:AlternateContent>
          <mc:Choice Requires="wpi">
            <w:drawing>
              <wp:anchor distT="0" distB="0" distL="114300" distR="114300" simplePos="0" relativeHeight="251674624" behindDoc="0" locked="0" layoutInCell="1" allowOverlap="1" wp14:anchorId="10BECAEC" wp14:editId="77037DDF">
                <wp:simplePos x="0" y="0"/>
                <wp:positionH relativeFrom="column">
                  <wp:posOffset>4587875</wp:posOffset>
                </wp:positionH>
                <wp:positionV relativeFrom="paragraph">
                  <wp:posOffset>-20320</wp:posOffset>
                </wp:positionV>
                <wp:extent cx="69215" cy="101095"/>
                <wp:effectExtent l="38100" t="38100" r="45085" b="32385"/>
                <wp:wrapNone/>
                <wp:docPr id="17" name="Freihand 17"/>
                <wp:cNvGraphicFramePr/>
                <a:graphic xmlns:a="http://schemas.openxmlformats.org/drawingml/2006/main">
                  <a:graphicData uri="http://schemas.microsoft.com/office/word/2010/wordprocessingInk">
                    <w14:contentPart bwMode="auto" r:id="rId12">
                      <w14:nvContentPartPr>
                        <w14:cNvContentPartPr/>
                      </w14:nvContentPartPr>
                      <w14:xfrm>
                        <a:off x="0" y="0"/>
                        <a:ext cx="69215" cy="101095"/>
                      </w14:xfrm>
                    </w14:contentPart>
                  </a:graphicData>
                </a:graphic>
              </wp:anchor>
            </w:drawing>
          </mc:Choice>
          <mc:Fallback>
            <w:pict>
              <v:shape w14:anchorId="67CB0747" id="Freihand 17" o:spid="_x0000_s1026" type="#_x0000_t75" style="position:absolute;margin-left:360.9pt;margin-top:-1.95pt;width:6.1pt;height:8.6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">
                <v:imagedata r:id="rId13" o:title=""/>
              </v:shape>
            </w:pict>
          </mc:Fallback>
        </mc:AlternateContent>
      </w:r>
      <w:r>
        <w:rPr>
          <w:rFonts w:ascii="Calibri" w:hAnsi="Calibri" w:cs="Calibri"/>
          <w:color w:val="000000"/>
          <w:sz w:val="24"/>
          <w:szCs w:val="24"/>
        </w:rPr>
        <w:tab/>
      </w:r>
    </w:p>
    <w:p w14:paraId="691AA6AE" w14:textId="5C00C60D" w:rsidR="00B3489C" w:rsidRPr="001455C2" w:rsidRDefault="00B3489C" w:rsidP="00204864">
      <w:pPr>
        <w:pStyle w:val="Listenabsatz"/>
        <w:numPr>
          <w:ilvl w:val="0"/>
          <w:numId w:val="2"/>
        </w:numPr>
        <w:autoSpaceDE w:val="0"/>
        <w:autoSpaceDN w:val="0"/>
        <w:adjustRightInd w:val="0"/>
        <w:spacing w:after="0" w:line="240" w:lineRule="auto"/>
        <w:rPr>
          <w:rFonts w:ascii="Calibri" w:hAnsi="Calibri" w:cs="Calibri"/>
          <w:color w:val="000000"/>
        </w:rPr>
      </w:pPr>
      <w:r w:rsidRPr="00204864">
        <w:rPr>
          <w:rFonts w:ascii="Calibri" w:hAnsi="Calibri" w:cs="Calibri"/>
          <w:b/>
          <w:bCs/>
          <w:color w:val="000000"/>
        </w:rPr>
        <w:t xml:space="preserve">Mit welchen Größen wird die Wandstärke eines nicht wasseräquivalenten Materials in eine wasseräquivalente Schichtdicke umgerechnet? Gilt das in gleicher Weise für Photonen- und Elektronenstrahlung und falls ja, unter welcher Voraussetzung? </w:t>
      </w:r>
    </w:p>
    <w:p w14:paraId="24BACC3F" w14:textId="482A2B5E" w:rsidR="001455C2" w:rsidRDefault="001455C2" w:rsidP="001455C2">
      <w:pPr>
        <w:autoSpaceDE w:val="0"/>
        <w:autoSpaceDN w:val="0"/>
        <w:adjustRightInd w:val="0"/>
        <w:spacing w:after="0" w:line="240" w:lineRule="auto"/>
        <w:rPr>
          <w:rFonts w:ascii="Calibri" w:hAnsi="Calibri" w:cs="Calibri"/>
          <w:color w:val="000000"/>
        </w:rPr>
      </w:pPr>
    </w:p>
    <w:p w14:paraId="14CE94D6" w14:textId="346DC5DA" w:rsidR="001455C2" w:rsidRDefault="00A0595F" w:rsidP="001455C2">
      <w:pPr>
        <w:autoSpaceDE w:val="0"/>
        <w:autoSpaceDN w:val="0"/>
        <w:adjustRightInd w:val="0"/>
        <w:spacing w:after="0" w:line="240" w:lineRule="auto"/>
        <w:ind w:left="720"/>
        <w:rPr>
          <w:rFonts w:ascii="Calibri" w:hAnsi="Calibri" w:cs="Calibri"/>
          <w:i/>
          <w:iCs/>
          <w:color w:val="FF0000"/>
        </w:rPr>
      </w:pPr>
      <w:r>
        <w:rPr>
          <w:rFonts w:ascii="Calibri" w:hAnsi="Calibri" w:cs="Calibri"/>
          <w:i/>
          <w:iCs/>
          <w:color w:val="FF0000"/>
        </w:rPr>
        <w:t xml:space="preserve">Zur Umrechnung einer Wandstärke in die Wasseräquivalente Schichtdicke wird </w:t>
      </w:r>
      <w:r w:rsidR="00227F6F">
        <w:rPr>
          <w:rFonts w:ascii="Calibri" w:hAnsi="Calibri" w:cs="Calibri"/>
          <w:i/>
          <w:iCs/>
          <w:color w:val="FF0000"/>
        </w:rPr>
        <w:t>bei Photonen das Verhältnis de</w:t>
      </w:r>
      <w:r w:rsidR="008454DF">
        <w:rPr>
          <w:rFonts w:ascii="Calibri" w:hAnsi="Calibri" w:cs="Calibri"/>
          <w:i/>
          <w:iCs/>
          <w:color w:val="FF0000"/>
        </w:rPr>
        <w:t xml:space="preserve">s linearen Schwächungskoeffizienten </w:t>
      </w:r>
      <w:r w:rsidR="00182782">
        <w:rPr>
          <w:rFonts w:ascii="Calibri" w:hAnsi="Calibri" w:cs="Calibri"/>
          <w:i/>
          <w:iCs/>
          <w:color w:val="FF0000"/>
        </w:rPr>
        <w:t xml:space="preserve">des interessierenden Materials und Wassers verwendet. Bei Elektronen hingegen wird das Verhältnis der </w:t>
      </w:r>
      <w:r w:rsidR="00F2186F">
        <w:rPr>
          <w:rFonts w:ascii="Calibri" w:hAnsi="Calibri" w:cs="Calibri"/>
          <w:i/>
          <w:iCs/>
          <w:color w:val="FF0000"/>
        </w:rPr>
        <w:t xml:space="preserve">praktischen Reichweiten verwendet </w:t>
      </w:r>
      <w:r w:rsidR="0059081E">
        <w:rPr>
          <w:rFonts w:ascii="Calibri" w:hAnsi="Calibri" w:cs="Calibri"/>
          <w:i/>
          <w:iCs/>
          <w:color w:val="FF0000"/>
        </w:rPr>
        <w:t xml:space="preserve">(praktische Reichweite ist Schnittpunkt der Tangente an </w:t>
      </w:r>
      <w:r w:rsidR="00186471">
        <w:rPr>
          <w:rFonts w:ascii="Calibri" w:hAnsi="Calibri" w:cs="Calibri"/>
          <w:i/>
          <w:iCs/>
          <w:color w:val="FF0000"/>
        </w:rPr>
        <w:t>den Dosisabfall und der Asymptote des Untergrunds)</w:t>
      </w:r>
      <w:r w:rsidR="006A0BB9">
        <w:rPr>
          <w:rFonts w:ascii="Calibri" w:hAnsi="Calibri" w:cs="Calibri"/>
          <w:i/>
          <w:iCs/>
          <w:color w:val="FF0000"/>
        </w:rPr>
        <w:t xml:space="preserve"> </w:t>
      </w:r>
    </w:p>
    <w:p w14:paraId="724C1954" w14:textId="6A6B362D" w:rsidR="006A0BB9" w:rsidRPr="00A0595F" w:rsidRDefault="006A0BB9" w:rsidP="001455C2">
      <w:pPr>
        <w:autoSpaceDE w:val="0"/>
        <w:autoSpaceDN w:val="0"/>
        <w:adjustRightInd w:val="0"/>
        <w:spacing w:after="0" w:line="240" w:lineRule="auto"/>
        <w:ind w:left="720"/>
        <w:rPr>
          <w:rFonts w:ascii="Calibri" w:hAnsi="Calibri" w:cs="Calibri"/>
          <w:i/>
          <w:iCs/>
          <w:color w:val="FF0000"/>
        </w:rPr>
      </w:pPr>
      <w:r>
        <w:rPr>
          <w:rFonts w:ascii="Calibri" w:hAnsi="Calibri" w:cs="Calibri"/>
          <w:i/>
          <w:iCs/>
          <w:color w:val="FF0000"/>
        </w:rPr>
        <w:t>Voraussetzung ist Annahme, das damit auch die Streubeiträge berücksichtigt werden</w:t>
      </w:r>
    </w:p>
    <w:p w14:paraId="0BD05486" w14:textId="77777777" w:rsidR="00B3489C" w:rsidRPr="00B3489C" w:rsidRDefault="00B3489C" w:rsidP="00B3489C">
      <w:pPr>
        <w:autoSpaceDE w:val="0"/>
        <w:autoSpaceDN w:val="0"/>
        <w:adjustRightInd w:val="0"/>
        <w:spacing w:after="0" w:line="240" w:lineRule="auto"/>
        <w:rPr>
          <w:rFonts w:ascii="Calibri" w:hAnsi="Calibri" w:cs="Calibri"/>
          <w:color w:val="000000"/>
          <w:sz w:val="24"/>
          <w:szCs w:val="24"/>
        </w:rPr>
      </w:pPr>
    </w:p>
    <w:p w14:paraId="52475705" w14:textId="75B1E071" w:rsidR="00B3489C" w:rsidRDefault="00B3489C" w:rsidP="00204864">
      <w:pPr>
        <w:pStyle w:val="Listenabsatz"/>
        <w:numPr>
          <w:ilvl w:val="0"/>
          <w:numId w:val="2"/>
        </w:numPr>
        <w:autoSpaceDE w:val="0"/>
        <w:autoSpaceDN w:val="0"/>
        <w:adjustRightInd w:val="0"/>
        <w:spacing w:after="0" w:line="240" w:lineRule="auto"/>
        <w:rPr>
          <w:rFonts w:ascii="Calibri" w:eastAsiaTheme="minorEastAsia" w:hAnsi="Calibri" w:cs="Calibri"/>
          <w:b/>
          <w:bCs/>
          <w:color w:val="000000"/>
        </w:rPr>
      </w:pPr>
      <w:r w:rsidRPr="00204864">
        <w:rPr>
          <w:rFonts w:ascii="Calibri" w:hAnsi="Calibri" w:cs="Calibri"/>
          <w:b/>
          <w:bCs/>
          <w:color w:val="000000"/>
        </w:rPr>
        <w:t xml:space="preserve">Warum geht in die Berechnung des Korrektionsfaktor kR zur Berücksichtigung der unterschiedlichen Positionierung von Ionisationskammern bei der Kalibrierung und der Messung der relative Gradient der Co-60 Tiefendosiskurve und die Messortverschiebung bei Co-60 ein und nicht die entsprechenden Größen bei der Messung? Denke zur Beantwortung dieser Frage an die Bezugsbedingung bezüglich der Positionierung bei der Kalibrierung. </w:t>
      </w:r>
      <m:oMath>
        <m:sSub>
          <m:sSubPr>
            <m:ctrlPr>
              <w:rPr>
                <w:rFonts w:ascii="Cambria Math" w:hAnsi="Cambria Math" w:cs="Calibri"/>
                <w:b/>
                <w:bCs/>
                <w:i/>
                <w:color w:val="000000"/>
              </w:rPr>
            </m:ctrlPr>
          </m:sSubPr>
          <m:e>
            <m:r>
              <m:rPr>
                <m:sty m:val="bi"/>
              </m:rPr>
              <w:rPr>
                <w:rFonts w:ascii="Cambria Math" w:hAnsi="Cambria Math" w:cs="Calibri"/>
                <w:color w:val="000000"/>
              </w:rPr>
              <m:t>k</m:t>
            </m:r>
          </m:e>
          <m:sub>
            <m:r>
              <m:rPr>
                <m:sty m:val="bi"/>
              </m:rPr>
              <w:rPr>
                <w:rFonts w:ascii="Cambria Math" w:hAnsi="Cambria Math" w:cs="Calibri"/>
                <w:color w:val="000000"/>
              </w:rPr>
              <m:t>r</m:t>
            </m:r>
          </m:sub>
        </m:sSub>
        <m:r>
          <m:rPr>
            <m:sty m:val="bi"/>
          </m:rPr>
          <w:rPr>
            <w:rFonts w:ascii="Cambria Math" w:hAnsi="Cambria Math" w:cs="Calibri"/>
            <w:color w:val="000000"/>
          </w:rPr>
          <m:t>=</m:t>
        </m:r>
        <m:f>
          <m:fPr>
            <m:ctrlPr>
              <w:rPr>
                <w:rFonts w:ascii="Cambria Math" w:hAnsi="Cambria Math" w:cs="Calibri"/>
                <w:b/>
                <w:bCs/>
                <w:i/>
                <w:color w:val="000000"/>
              </w:rPr>
            </m:ctrlPr>
          </m:fPr>
          <m:num>
            <m:r>
              <m:rPr>
                <m:sty m:val="bi"/>
              </m:rPr>
              <w:rPr>
                <w:rFonts w:ascii="Cambria Math" w:hAnsi="Cambria Math" w:cs="Calibri"/>
                <w:color w:val="000000"/>
              </w:rPr>
              <m:t>1</m:t>
            </m:r>
          </m:num>
          <m:den>
            <m:r>
              <m:rPr>
                <m:sty m:val="bi"/>
              </m:rPr>
              <w:rPr>
                <w:rFonts w:ascii="Cambria Math" w:hAnsi="Cambria Math" w:cs="Calibri"/>
                <w:color w:val="000000"/>
              </w:rPr>
              <m:t>1+</m:t>
            </m:r>
            <m:sSub>
              <m:sSubPr>
                <m:ctrlPr>
                  <w:rPr>
                    <w:rFonts w:ascii="Cambria Math" w:hAnsi="Cambria Math" w:cs="Calibri"/>
                    <w:b/>
                    <w:bCs/>
                    <w:i/>
                    <w:color w:val="000000"/>
                  </w:rPr>
                </m:ctrlPr>
              </m:sSubPr>
              <m:e>
                <m:r>
                  <m:rPr>
                    <m:sty m:val="bi"/>
                  </m:rPr>
                  <w:rPr>
                    <w:rFonts w:ascii="Cambria Math" w:hAnsi="Cambria Math" w:cs="Calibri"/>
                    <w:color w:val="000000"/>
                  </w:rPr>
                  <m:t>δ</m:t>
                </m:r>
              </m:e>
              <m:sub>
                <m:r>
                  <m:rPr>
                    <m:sty m:val="bi"/>
                  </m:rPr>
                  <w:rPr>
                    <w:rFonts w:ascii="Cambria Math" w:hAnsi="Cambria Math" w:cs="Calibri"/>
                    <w:color w:val="000000"/>
                  </w:rPr>
                  <m:t>co</m:t>
                </m:r>
              </m:sub>
            </m:sSub>
            <m:r>
              <m:rPr>
                <m:sty m:val="bi"/>
              </m:rPr>
              <w:rPr>
                <w:rFonts w:ascii="Cambria Math" w:hAnsi="Cambria Math" w:cs="Calibri"/>
                <w:color w:val="000000"/>
              </w:rPr>
              <m:t>*</m:t>
            </m:r>
            <m:r>
              <m:rPr>
                <m:sty m:val="b"/>
              </m:rPr>
              <w:rPr>
                <w:rFonts w:ascii="Cambria Math" w:hAnsi="Cambria Math" w:cs="Calibri"/>
                <w:color w:val="000000"/>
              </w:rPr>
              <m:t>Δ</m:t>
            </m:r>
            <m:sSub>
              <m:sSubPr>
                <m:ctrlPr>
                  <w:rPr>
                    <w:rFonts w:ascii="Cambria Math" w:hAnsi="Cambria Math" w:cs="Calibri"/>
                    <w:b/>
                    <w:bCs/>
                    <w:i/>
                    <w:color w:val="000000"/>
                  </w:rPr>
                </m:ctrlPr>
              </m:sSubPr>
              <m:e>
                <m:r>
                  <m:rPr>
                    <m:sty m:val="bi"/>
                  </m:rPr>
                  <w:rPr>
                    <w:rFonts w:ascii="Cambria Math" w:hAnsi="Cambria Math" w:cs="Calibri"/>
                    <w:color w:val="000000"/>
                  </w:rPr>
                  <m:t>z</m:t>
                </m:r>
              </m:e>
              <m:sub>
                <m:r>
                  <m:rPr>
                    <m:sty m:val="bi"/>
                  </m:rPr>
                  <w:rPr>
                    <w:rFonts w:ascii="Cambria Math" w:hAnsi="Cambria Math" w:cs="Calibri"/>
                    <w:color w:val="000000"/>
                  </w:rPr>
                  <m:t>co</m:t>
                </m:r>
              </m:sub>
            </m:sSub>
          </m:den>
        </m:f>
      </m:oMath>
    </w:p>
    <w:p w14:paraId="43FC364E" w14:textId="2A6D4BA5" w:rsidR="0017012B" w:rsidRDefault="0017012B" w:rsidP="0017012B">
      <w:pPr>
        <w:autoSpaceDE w:val="0"/>
        <w:autoSpaceDN w:val="0"/>
        <w:adjustRightInd w:val="0"/>
        <w:spacing w:after="0" w:line="240" w:lineRule="auto"/>
        <w:rPr>
          <w:rFonts w:ascii="Calibri" w:eastAsiaTheme="minorEastAsia" w:hAnsi="Calibri" w:cs="Calibri"/>
          <w:b/>
          <w:bCs/>
          <w:color w:val="000000"/>
        </w:rPr>
      </w:pPr>
    </w:p>
    <w:p w14:paraId="3DFBB556" w14:textId="7004A200" w:rsidR="0017012B" w:rsidRPr="00745CCE" w:rsidRDefault="00745CCE" w:rsidP="0017012B">
      <w:pPr>
        <w:autoSpaceDE w:val="0"/>
        <w:autoSpaceDN w:val="0"/>
        <w:adjustRightInd w:val="0"/>
        <w:spacing w:after="0" w:line="240" w:lineRule="auto"/>
        <w:ind w:left="708"/>
        <w:rPr>
          <w:rFonts w:ascii="Calibri" w:eastAsiaTheme="minorEastAsia" w:hAnsi="Calibri" w:cs="Calibri"/>
          <w:i/>
          <w:iCs/>
          <w:color w:val="FF0000"/>
        </w:rPr>
      </w:pPr>
      <w:r w:rsidRPr="00745CCE">
        <w:rPr>
          <w:rFonts w:ascii="Calibri" w:eastAsiaTheme="minorEastAsia" w:hAnsi="Calibri" w:cs="Calibri"/>
          <w:i/>
          <w:iCs/>
          <w:color w:val="FF0000"/>
        </w:rPr>
        <w:t>Bei der Kalibrierung</w:t>
      </w:r>
      <w:r>
        <w:rPr>
          <w:rFonts w:ascii="Calibri" w:eastAsiaTheme="minorEastAsia" w:hAnsi="Calibri" w:cs="Calibri"/>
          <w:i/>
          <w:iCs/>
          <w:color w:val="FF0000"/>
        </w:rPr>
        <w:t xml:space="preserve"> wird der</w:t>
      </w:r>
      <w:r w:rsidR="004342D9">
        <w:rPr>
          <w:rFonts w:ascii="Calibri" w:eastAsiaTheme="minorEastAsia" w:hAnsi="Calibri" w:cs="Calibri"/>
          <w:i/>
          <w:iCs/>
          <w:color w:val="FF0000"/>
        </w:rPr>
        <w:t xml:space="preserve"> Bezugspunkt der Messkammer in die Bezugstiefe (5cm) gebracht.</w:t>
      </w:r>
      <w:r w:rsidR="00EB36B3">
        <w:rPr>
          <w:rFonts w:ascii="Calibri" w:eastAsiaTheme="minorEastAsia" w:hAnsi="Calibri" w:cs="Calibri"/>
          <w:i/>
          <w:iCs/>
          <w:color w:val="FF0000"/>
        </w:rPr>
        <w:t xml:space="preserve"> Die gemessene Dosis gilt allerdings für den </w:t>
      </w:r>
      <w:r w:rsidR="007C1D70">
        <w:rPr>
          <w:rFonts w:ascii="Calibri" w:eastAsiaTheme="minorEastAsia" w:hAnsi="Calibri" w:cs="Calibri"/>
          <w:i/>
          <w:iCs/>
          <w:color w:val="FF0000"/>
        </w:rPr>
        <w:t xml:space="preserve">effektiven Messort, der von diesem verschieden sein kann. Um </w:t>
      </w:r>
      <w:r w:rsidR="00A95006">
        <w:rPr>
          <w:rFonts w:ascii="Calibri" w:eastAsiaTheme="minorEastAsia" w:hAnsi="Calibri" w:cs="Calibri"/>
          <w:i/>
          <w:iCs/>
          <w:color w:val="FF0000"/>
        </w:rPr>
        <w:t xml:space="preserve">diese Verschiebung auszugleichen verwendet man </w:t>
      </w:r>
      <w:r w:rsidR="006B334F">
        <w:rPr>
          <w:rFonts w:ascii="Calibri" w:eastAsiaTheme="minorEastAsia" w:hAnsi="Calibri" w:cs="Calibri"/>
          <w:i/>
          <w:iCs/>
          <w:color w:val="FF0000"/>
        </w:rPr>
        <w:t>den relativen Gradient</w:t>
      </w:r>
      <w:r w:rsidR="003D73F2">
        <w:rPr>
          <w:rFonts w:ascii="Calibri" w:eastAsiaTheme="minorEastAsia" w:hAnsi="Calibri" w:cs="Calibri"/>
          <w:i/>
          <w:iCs/>
          <w:color w:val="FF0000"/>
        </w:rPr>
        <w:t>en</w:t>
      </w:r>
      <w:r w:rsidR="006B334F">
        <w:rPr>
          <w:rFonts w:ascii="Calibri" w:eastAsiaTheme="minorEastAsia" w:hAnsi="Calibri" w:cs="Calibri"/>
          <w:i/>
          <w:iCs/>
          <w:color w:val="FF0000"/>
        </w:rPr>
        <w:t xml:space="preserve"> der Co-60 TDK und die Verschiebung des effektiven Messortes zum Bezugspunkt.</w:t>
      </w:r>
      <w:r w:rsidR="004342D9">
        <w:rPr>
          <w:rFonts w:ascii="Calibri" w:eastAsiaTheme="minorEastAsia" w:hAnsi="Calibri" w:cs="Calibri"/>
          <w:i/>
          <w:iCs/>
          <w:color w:val="FF0000"/>
        </w:rPr>
        <w:t xml:space="preserve"> Bei allen anderen Messungen wird hingegen </w:t>
      </w:r>
      <w:r w:rsidR="00121C99">
        <w:rPr>
          <w:rFonts w:ascii="Calibri" w:eastAsiaTheme="minorEastAsia" w:hAnsi="Calibri" w:cs="Calibri"/>
          <w:i/>
          <w:iCs/>
          <w:color w:val="FF0000"/>
        </w:rPr>
        <w:t xml:space="preserve">auf den effektiven Messort der Ionisationskammer </w:t>
      </w:r>
      <w:r w:rsidR="00CE0620">
        <w:rPr>
          <w:rFonts w:ascii="Calibri" w:eastAsiaTheme="minorEastAsia" w:hAnsi="Calibri" w:cs="Calibri"/>
          <w:i/>
          <w:iCs/>
          <w:color w:val="FF0000"/>
        </w:rPr>
        <w:t xml:space="preserve">positioniert. </w:t>
      </w:r>
      <w:r w:rsidR="006A634D">
        <w:rPr>
          <w:rFonts w:ascii="Calibri" w:eastAsiaTheme="minorEastAsia" w:hAnsi="Calibri" w:cs="Calibri"/>
          <w:i/>
          <w:iCs/>
          <w:color w:val="FF0000"/>
        </w:rPr>
        <w:t xml:space="preserve">Da für diesen die </w:t>
      </w:r>
      <w:r w:rsidR="00A813A7">
        <w:rPr>
          <w:rFonts w:ascii="Calibri" w:eastAsiaTheme="minorEastAsia" w:hAnsi="Calibri" w:cs="Calibri"/>
          <w:i/>
          <w:iCs/>
          <w:color w:val="FF0000"/>
        </w:rPr>
        <w:t xml:space="preserve">gemessene Dosis gilt muss dort keine Verschiebung </w:t>
      </w:r>
      <w:r w:rsidR="00EB36B3">
        <w:rPr>
          <w:rFonts w:ascii="Calibri" w:eastAsiaTheme="minorEastAsia" w:hAnsi="Calibri" w:cs="Calibri"/>
          <w:i/>
          <w:iCs/>
          <w:color w:val="FF0000"/>
        </w:rPr>
        <w:t xml:space="preserve">korrigiert werden. </w:t>
      </w:r>
    </w:p>
    <w:p w14:paraId="43B5BFE2" w14:textId="77777777" w:rsidR="00204864" w:rsidRPr="00204864" w:rsidRDefault="00204864" w:rsidP="00204864">
      <w:pPr>
        <w:pStyle w:val="Listenabsatz"/>
        <w:rPr>
          <w:rFonts w:ascii="Calibri" w:eastAsiaTheme="minorEastAsia" w:hAnsi="Calibri" w:cs="Calibri"/>
          <w:b/>
          <w:bCs/>
          <w:color w:val="000000"/>
        </w:rPr>
      </w:pPr>
    </w:p>
    <w:p w14:paraId="7095F3C5" w14:textId="63747422" w:rsidR="00204864" w:rsidRPr="00204864" w:rsidRDefault="00204864" w:rsidP="00204864">
      <w:pPr>
        <w:pStyle w:val="Listenabsatz"/>
        <w:numPr>
          <w:ilvl w:val="0"/>
          <w:numId w:val="2"/>
        </w:numPr>
        <w:autoSpaceDE w:val="0"/>
        <w:autoSpaceDN w:val="0"/>
        <w:adjustRightInd w:val="0"/>
        <w:spacing w:after="0" w:line="240" w:lineRule="auto"/>
        <w:rPr>
          <w:rFonts w:ascii="Calibri" w:eastAsiaTheme="minorEastAsia" w:hAnsi="Calibri" w:cs="Calibri"/>
          <w:b/>
          <w:bCs/>
          <w:color w:val="000000"/>
        </w:rPr>
      </w:pPr>
      <w:r>
        <w:rPr>
          <w:rFonts w:ascii="Calibri" w:eastAsiaTheme="minorEastAsia" w:hAnsi="Calibri" w:cs="Calibri"/>
          <w:color w:val="000000"/>
        </w:rPr>
        <w:t>Gib die Bezugsbedingun</w:t>
      </w:r>
      <w:r w:rsidR="00FD542E">
        <w:rPr>
          <w:rFonts w:ascii="Calibri" w:eastAsiaTheme="minorEastAsia" w:hAnsi="Calibri" w:cs="Calibri"/>
          <w:color w:val="000000"/>
        </w:rPr>
        <w:t>g</w:t>
      </w:r>
      <w:r>
        <w:rPr>
          <w:rFonts w:ascii="Calibri" w:eastAsiaTheme="minorEastAsia" w:hAnsi="Calibri" w:cs="Calibri"/>
          <w:color w:val="000000"/>
        </w:rPr>
        <w:t>en für die Kalibrierung nach DIN 6800-2 für folgende Größen an</w:t>
      </w:r>
    </w:p>
    <w:p w14:paraId="7D88821A" w14:textId="77777777" w:rsidR="00204864" w:rsidRPr="00204864" w:rsidRDefault="00204864" w:rsidP="00204864">
      <w:pPr>
        <w:pStyle w:val="Listenabsatz"/>
        <w:rPr>
          <w:rFonts w:ascii="Calibri" w:eastAsiaTheme="minorEastAsia" w:hAnsi="Calibri" w:cs="Calibri"/>
          <w:b/>
          <w:bCs/>
          <w:color w:val="000000"/>
        </w:rPr>
      </w:pPr>
    </w:p>
    <w:p w14:paraId="5F5FE95D" w14:textId="43F11B32" w:rsidR="00204864" w:rsidRPr="00FD542E" w:rsidRDefault="00204864" w:rsidP="00204864">
      <w:pPr>
        <w:pStyle w:val="Listenabsatz"/>
        <w:numPr>
          <w:ilvl w:val="1"/>
          <w:numId w:val="2"/>
        </w:numPr>
        <w:autoSpaceDE w:val="0"/>
        <w:autoSpaceDN w:val="0"/>
        <w:adjustRightInd w:val="0"/>
        <w:spacing w:after="0" w:line="240" w:lineRule="auto"/>
        <w:rPr>
          <w:rFonts w:ascii="Calibri" w:eastAsiaTheme="minorEastAsia" w:hAnsi="Calibri" w:cs="Calibri"/>
          <w:color w:val="000000"/>
        </w:rPr>
      </w:pPr>
      <w:r w:rsidRPr="00FD542E">
        <w:rPr>
          <w:rFonts w:ascii="Calibri" w:eastAsiaTheme="minorEastAsia" w:hAnsi="Calibri" w:cs="Calibri"/>
          <w:color w:val="000000"/>
        </w:rPr>
        <w:t>Strahlungsqualität</w:t>
      </w:r>
      <w:r w:rsidR="00124BC4">
        <w:rPr>
          <w:rFonts w:ascii="Calibri" w:eastAsiaTheme="minorEastAsia" w:hAnsi="Calibri" w:cs="Calibri"/>
          <w:color w:val="000000"/>
        </w:rPr>
        <w:t xml:space="preserve"> </w:t>
      </w:r>
      <w:r w:rsidR="00124BC4">
        <w:rPr>
          <w:rFonts w:ascii="Calibri" w:eastAsiaTheme="minorEastAsia" w:hAnsi="Calibri" w:cs="Calibri"/>
          <w:color w:val="000000"/>
        </w:rPr>
        <w:tab/>
      </w:r>
      <w:r w:rsidR="007B2345">
        <w:rPr>
          <w:rFonts w:ascii="Calibri" w:eastAsiaTheme="minorEastAsia" w:hAnsi="Calibri" w:cs="Calibri"/>
          <w:color w:val="000000"/>
        </w:rPr>
        <w:tab/>
      </w:r>
      <w:r w:rsidR="007B2345">
        <w:rPr>
          <w:rFonts w:ascii="Calibri" w:eastAsiaTheme="minorEastAsia" w:hAnsi="Calibri" w:cs="Calibri"/>
          <w:color w:val="000000"/>
        </w:rPr>
        <w:tab/>
      </w:r>
      <w:r w:rsidR="007B2345">
        <w:rPr>
          <w:rFonts w:ascii="Calibri" w:eastAsiaTheme="minorEastAsia" w:hAnsi="Calibri" w:cs="Calibri"/>
          <w:color w:val="000000"/>
        </w:rPr>
        <w:tab/>
      </w:r>
      <w:r w:rsidR="000B34CA">
        <w:rPr>
          <w:rFonts w:ascii="Calibri" w:eastAsiaTheme="minorEastAsia" w:hAnsi="Calibri" w:cs="Calibri"/>
          <w:i/>
          <w:iCs/>
          <w:color w:val="FF0000"/>
          <w:vertAlign w:val="superscript"/>
        </w:rPr>
        <w:t>60</w:t>
      </w:r>
      <w:r w:rsidR="000B34CA">
        <w:rPr>
          <w:rFonts w:ascii="Calibri" w:eastAsiaTheme="minorEastAsia" w:hAnsi="Calibri" w:cs="Calibri"/>
          <w:i/>
          <w:iCs/>
          <w:color w:val="FF0000"/>
        </w:rPr>
        <w:t>Co-</w:t>
      </w:r>
      <w:r w:rsidR="00297122">
        <w:rPr>
          <w:rFonts w:ascii="Calibri" w:eastAsiaTheme="minorEastAsia" w:hAnsi="Calibri" w:cs="Calibri"/>
          <w:i/>
          <w:iCs/>
          <w:color w:val="FF0000"/>
        </w:rPr>
        <w:t>Gammastrahlung</w:t>
      </w:r>
      <w:r w:rsidR="001D4281">
        <w:rPr>
          <w:rFonts w:ascii="Calibri" w:eastAsiaTheme="minorEastAsia" w:hAnsi="Calibri" w:cs="Calibri"/>
          <w:i/>
          <w:iCs/>
          <w:color w:val="FF0000"/>
        </w:rPr>
        <w:tab/>
      </w:r>
    </w:p>
    <w:p w14:paraId="26A535DD" w14:textId="3656C613" w:rsidR="00204864" w:rsidRPr="00FD542E" w:rsidRDefault="00FD542E" w:rsidP="00204864">
      <w:pPr>
        <w:pStyle w:val="Listenabsatz"/>
        <w:numPr>
          <w:ilvl w:val="1"/>
          <w:numId w:val="2"/>
        </w:numPr>
        <w:autoSpaceDE w:val="0"/>
        <w:autoSpaceDN w:val="0"/>
        <w:adjustRightInd w:val="0"/>
        <w:spacing w:after="0" w:line="240" w:lineRule="auto"/>
        <w:rPr>
          <w:rFonts w:ascii="Calibri" w:eastAsiaTheme="minorEastAsia" w:hAnsi="Calibri" w:cs="Calibri"/>
          <w:color w:val="000000"/>
        </w:rPr>
      </w:pPr>
      <w:r w:rsidRPr="00FD542E">
        <w:rPr>
          <w:rFonts w:ascii="Calibri" w:eastAsiaTheme="minorEastAsia" w:hAnsi="Calibri" w:cs="Calibri"/>
          <w:color w:val="000000"/>
        </w:rPr>
        <w:t>Messtiefe in Wasser</w:t>
      </w:r>
      <w:r w:rsidR="00297122">
        <w:rPr>
          <w:rFonts w:ascii="Calibri" w:eastAsiaTheme="minorEastAsia" w:hAnsi="Calibri" w:cs="Calibri"/>
          <w:color w:val="000000"/>
        </w:rPr>
        <w:tab/>
      </w:r>
      <w:r w:rsidR="00297122">
        <w:rPr>
          <w:rFonts w:ascii="Calibri" w:eastAsiaTheme="minorEastAsia" w:hAnsi="Calibri" w:cs="Calibri"/>
          <w:color w:val="000000"/>
        </w:rPr>
        <w:tab/>
      </w:r>
      <w:r w:rsidR="00297122">
        <w:rPr>
          <w:rFonts w:ascii="Calibri" w:eastAsiaTheme="minorEastAsia" w:hAnsi="Calibri" w:cs="Calibri"/>
          <w:color w:val="000000"/>
        </w:rPr>
        <w:tab/>
      </w:r>
      <w:r w:rsidR="00297122">
        <w:rPr>
          <w:rFonts w:ascii="Calibri" w:eastAsiaTheme="minorEastAsia" w:hAnsi="Calibri" w:cs="Calibri"/>
          <w:color w:val="000000"/>
        </w:rPr>
        <w:tab/>
      </w:r>
      <w:r w:rsidR="00012970">
        <w:rPr>
          <w:rFonts w:ascii="Calibri" w:eastAsiaTheme="minorEastAsia" w:hAnsi="Calibri" w:cs="Calibri"/>
          <w:i/>
          <w:iCs/>
          <w:color w:val="FF0000"/>
        </w:rPr>
        <w:t xml:space="preserve">5cm </w:t>
      </w:r>
    </w:p>
    <w:p w14:paraId="1D63A647" w14:textId="420C44B0" w:rsidR="00FD542E" w:rsidRPr="00FD542E" w:rsidRDefault="00FD542E" w:rsidP="00204864">
      <w:pPr>
        <w:pStyle w:val="Listenabsatz"/>
        <w:numPr>
          <w:ilvl w:val="1"/>
          <w:numId w:val="2"/>
        </w:numPr>
        <w:autoSpaceDE w:val="0"/>
        <w:autoSpaceDN w:val="0"/>
        <w:adjustRightInd w:val="0"/>
        <w:spacing w:after="0" w:line="240" w:lineRule="auto"/>
        <w:rPr>
          <w:rFonts w:ascii="Calibri" w:eastAsiaTheme="minorEastAsia" w:hAnsi="Calibri" w:cs="Calibri"/>
          <w:color w:val="000000"/>
        </w:rPr>
      </w:pPr>
      <w:r w:rsidRPr="00FD542E">
        <w:rPr>
          <w:rFonts w:ascii="Calibri" w:eastAsiaTheme="minorEastAsia" w:hAnsi="Calibri" w:cs="Calibri"/>
          <w:color w:val="000000"/>
        </w:rPr>
        <w:t xml:space="preserve">Temperatur </w:t>
      </w:r>
      <w:r w:rsidR="00012970">
        <w:rPr>
          <w:rFonts w:ascii="Calibri" w:eastAsiaTheme="minorEastAsia" w:hAnsi="Calibri" w:cs="Calibri"/>
          <w:color w:val="000000"/>
        </w:rPr>
        <w:tab/>
      </w:r>
      <w:r w:rsidR="00012970">
        <w:rPr>
          <w:rFonts w:ascii="Calibri" w:eastAsiaTheme="minorEastAsia" w:hAnsi="Calibri" w:cs="Calibri"/>
          <w:color w:val="000000"/>
        </w:rPr>
        <w:tab/>
      </w:r>
      <w:r w:rsidR="00012970">
        <w:rPr>
          <w:rFonts w:ascii="Calibri" w:eastAsiaTheme="minorEastAsia" w:hAnsi="Calibri" w:cs="Calibri"/>
          <w:color w:val="000000"/>
        </w:rPr>
        <w:tab/>
      </w:r>
      <w:r w:rsidR="00012970">
        <w:rPr>
          <w:rFonts w:ascii="Calibri" w:eastAsiaTheme="minorEastAsia" w:hAnsi="Calibri" w:cs="Calibri"/>
          <w:color w:val="000000"/>
        </w:rPr>
        <w:tab/>
      </w:r>
      <w:r w:rsidR="00012970">
        <w:rPr>
          <w:rFonts w:ascii="Calibri" w:eastAsiaTheme="minorEastAsia" w:hAnsi="Calibri" w:cs="Calibri"/>
          <w:color w:val="000000"/>
        </w:rPr>
        <w:tab/>
      </w:r>
      <w:r w:rsidR="007C5EF2">
        <w:rPr>
          <w:rFonts w:ascii="Calibri" w:eastAsiaTheme="minorEastAsia" w:hAnsi="Calibri" w:cs="Calibri"/>
          <w:i/>
          <w:iCs/>
          <w:color w:val="FF0000"/>
        </w:rPr>
        <w:t>293,15 K</w:t>
      </w:r>
    </w:p>
    <w:p w14:paraId="2548EAB7" w14:textId="6E498588" w:rsidR="00FD542E" w:rsidRPr="00FD542E" w:rsidRDefault="00FD542E" w:rsidP="00204864">
      <w:pPr>
        <w:pStyle w:val="Listenabsatz"/>
        <w:numPr>
          <w:ilvl w:val="1"/>
          <w:numId w:val="2"/>
        </w:numPr>
        <w:autoSpaceDE w:val="0"/>
        <w:autoSpaceDN w:val="0"/>
        <w:adjustRightInd w:val="0"/>
        <w:spacing w:after="0" w:line="240" w:lineRule="auto"/>
        <w:rPr>
          <w:rFonts w:ascii="Calibri" w:eastAsiaTheme="minorEastAsia" w:hAnsi="Calibri" w:cs="Calibri"/>
          <w:color w:val="000000"/>
        </w:rPr>
      </w:pPr>
      <w:r w:rsidRPr="00FD542E">
        <w:rPr>
          <w:rFonts w:ascii="Calibri" w:eastAsiaTheme="minorEastAsia" w:hAnsi="Calibri" w:cs="Calibri"/>
          <w:color w:val="000000"/>
        </w:rPr>
        <w:t>Luftdruck</w:t>
      </w:r>
      <w:r w:rsidR="007C5EF2">
        <w:rPr>
          <w:rFonts w:ascii="Calibri" w:eastAsiaTheme="minorEastAsia" w:hAnsi="Calibri" w:cs="Calibri"/>
          <w:color w:val="000000"/>
        </w:rPr>
        <w:tab/>
      </w:r>
      <w:r w:rsidR="007C5EF2">
        <w:rPr>
          <w:rFonts w:ascii="Calibri" w:eastAsiaTheme="minorEastAsia" w:hAnsi="Calibri" w:cs="Calibri"/>
          <w:color w:val="000000"/>
        </w:rPr>
        <w:tab/>
      </w:r>
      <w:r w:rsidR="007C5EF2">
        <w:rPr>
          <w:rFonts w:ascii="Calibri" w:eastAsiaTheme="minorEastAsia" w:hAnsi="Calibri" w:cs="Calibri"/>
          <w:color w:val="000000"/>
        </w:rPr>
        <w:tab/>
      </w:r>
      <w:r w:rsidR="007C5EF2">
        <w:rPr>
          <w:rFonts w:ascii="Calibri" w:eastAsiaTheme="minorEastAsia" w:hAnsi="Calibri" w:cs="Calibri"/>
          <w:color w:val="000000"/>
        </w:rPr>
        <w:tab/>
      </w:r>
      <w:r w:rsidR="007C5EF2">
        <w:rPr>
          <w:rFonts w:ascii="Calibri" w:eastAsiaTheme="minorEastAsia" w:hAnsi="Calibri" w:cs="Calibri"/>
          <w:color w:val="000000"/>
        </w:rPr>
        <w:tab/>
      </w:r>
      <w:r w:rsidR="007C5EF2">
        <w:rPr>
          <w:rFonts w:ascii="Calibri" w:eastAsiaTheme="minorEastAsia" w:hAnsi="Calibri" w:cs="Calibri"/>
          <w:i/>
          <w:iCs/>
          <w:color w:val="FF0000"/>
        </w:rPr>
        <w:t>1013,25 hPa</w:t>
      </w:r>
    </w:p>
    <w:p w14:paraId="7D647600" w14:textId="362963D0" w:rsidR="00FD542E" w:rsidRPr="00FD542E" w:rsidRDefault="00FD542E" w:rsidP="00204864">
      <w:pPr>
        <w:pStyle w:val="Listenabsatz"/>
        <w:numPr>
          <w:ilvl w:val="1"/>
          <w:numId w:val="2"/>
        </w:numPr>
        <w:autoSpaceDE w:val="0"/>
        <w:autoSpaceDN w:val="0"/>
        <w:adjustRightInd w:val="0"/>
        <w:spacing w:after="0" w:line="240" w:lineRule="auto"/>
        <w:rPr>
          <w:rFonts w:ascii="Calibri" w:eastAsiaTheme="minorEastAsia" w:hAnsi="Calibri" w:cs="Calibri"/>
          <w:color w:val="000000"/>
        </w:rPr>
      </w:pPr>
      <w:r w:rsidRPr="00FD542E">
        <w:rPr>
          <w:rFonts w:ascii="Calibri" w:eastAsiaTheme="minorEastAsia" w:hAnsi="Calibri" w:cs="Calibri"/>
          <w:color w:val="000000"/>
        </w:rPr>
        <w:t>Sättigung</w:t>
      </w:r>
      <w:r w:rsidR="007C5EF2">
        <w:rPr>
          <w:rFonts w:ascii="Calibri" w:eastAsiaTheme="minorEastAsia" w:hAnsi="Calibri" w:cs="Calibri"/>
          <w:color w:val="000000"/>
        </w:rPr>
        <w:tab/>
      </w:r>
      <w:r w:rsidR="007C5EF2">
        <w:rPr>
          <w:rFonts w:ascii="Calibri" w:eastAsiaTheme="minorEastAsia" w:hAnsi="Calibri" w:cs="Calibri"/>
          <w:color w:val="000000"/>
        </w:rPr>
        <w:tab/>
      </w:r>
      <w:r w:rsidR="007C5EF2">
        <w:rPr>
          <w:rFonts w:ascii="Calibri" w:eastAsiaTheme="minorEastAsia" w:hAnsi="Calibri" w:cs="Calibri"/>
          <w:color w:val="000000"/>
        </w:rPr>
        <w:tab/>
      </w:r>
      <w:r w:rsidR="007C5EF2">
        <w:rPr>
          <w:rFonts w:ascii="Calibri" w:eastAsiaTheme="minorEastAsia" w:hAnsi="Calibri" w:cs="Calibri"/>
          <w:color w:val="000000"/>
        </w:rPr>
        <w:tab/>
      </w:r>
      <w:r w:rsidR="007C5EF2">
        <w:rPr>
          <w:rFonts w:ascii="Calibri" w:eastAsiaTheme="minorEastAsia" w:hAnsi="Calibri" w:cs="Calibri"/>
          <w:color w:val="000000"/>
        </w:rPr>
        <w:tab/>
      </w:r>
      <w:r w:rsidR="00475A97">
        <w:rPr>
          <w:rFonts w:ascii="Calibri" w:eastAsiaTheme="minorEastAsia" w:hAnsi="Calibri" w:cs="Calibri"/>
          <w:i/>
          <w:iCs/>
          <w:color w:val="FF0000"/>
        </w:rPr>
        <w:t>100 %</w:t>
      </w:r>
    </w:p>
    <w:p w14:paraId="10E2835F" w14:textId="78D68B73" w:rsidR="00FD542E" w:rsidRDefault="00FD542E" w:rsidP="00204864">
      <w:pPr>
        <w:pStyle w:val="Listenabsatz"/>
        <w:numPr>
          <w:ilvl w:val="1"/>
          <w:numId w:val="2"/>
        </w:numPr>
        <w:autoSpaceDE w:val="0"/>
        <w:autoSpaceDN w:val="0"/>
        <w:adjustRightInd w:val="0"/>
        <w:spacing w:after="0" w:line="240" w:lineRule="auto"/>
        <w:rPr>
          <w:rFonts w:ascii="Calibri" w:eastAsiaTheme="minorEastAsia" w:hAnsi="Calibri" w:cs="Calibri"/>
          <w:color w:val="000000"/>
        </w:rPr>
      </w:pPr>
      <w:r w:rsidRPr="00FD542E">
        <w:rPr>
          <w:rFonts w:ascii="Calibri" w:eastAsiaTheme="minorEastAsia" w:hAnsi="Calibri" w:cs="Calibri"/>
          <w:color w:val="000000"/>
        </w:rPr>
        <w:t xml:space="preserve">Positionierung der Ionisationskammer </w:t>
      </w:r>
      <w:r w:rsidR="00475A97">
        <w:rPr>
          <w:rFonts w:ascii="Calibri" w:eastAsiaTheme="minorEastAsia" w:hAnsi="Calibri" w:cs="Calibri"/>
          <w:color w:val="000000"/>
        </w:rPr>
        <w:tab/>
      </w:r>
      <w:r w:rsidR="00475A97">
        <w:rPr>
          <w:rFonts w:ascii="Calibri" w:eastAsiaTheme="minorEastAsia" w:hAnsi="Calibri" w:cs="Calibri"/>
          <w:color w:val="000000"/>
        </w:rPr>
        <w:tab/>
      </w:r>
      <w:r w:rsidR="00C2766F">
        <w:rPr>
          <w:rFonts w:ascii="Calibri" w:eastAsiaTheme="minorEastAsia" w:hAnsi="Calibri" w:cs="Calibri"/>
          <w:i/>
          <w:iCs/>
          <w:color w:val="FF0000"/>
        </w:rPr>
        <w:t>Bezugspunkt</w:t>
      </w:r>
      <w:r w:rsidR="00DE717E">
        <w:rPr>
          <w:rFonts w:ascii="Calibri" w:eastAsiaTheme="minorEastAsia" w:hAnsi="Calibri" w:cs="Calibri"/>
          <w:i/>
          <w:iCs/>
          <w:color w:val="FF0000"/>
        </w:rPr>
        <w:t xml:space="preserve"> auf Messort</w:t>
      </w:r>
    </w:p>
    <w:p w14:paraId="100D4CD1" w14:textId="77777777" w:rsidR="00FD542E" w:rsidRPr="00FD542E" w:rsidRDefault="00FD542E" w:rsidP="00FD542E">
      <w:pPr>
        <w:autoSpaceDE w:val="0"/>
        <w:autoSpaceDN w:val="0"/>
        <w:adjustRightInd w:val="0"/>
        <w:spacing w:after="0" w:line="240" w:lineRule="auto"/>
        <w:rPr>
          <w:rFonts w:ascii="Calibri" w:eastAsiaTheme="minorEastAsia" w:hAnsi="Calibri" w:cs="Calibri"/>
          <w:color w:val="000000"/>
        </w:rPr>
      </w:pPr>
    </w:p>
    <w:p w14:paraId="3A441D2F" w14:textId="0624C9FA" w:rsidR="00FD542E" w:rsidRDefault="00FD542E" w:rsidP="00FD542E">
      <w:pPr>
        <w:pStyle w:val="Listenabsatz"/>
        <w:numPr>
          <w:ilvl w:val="0"/>
          <w:numId w:val="2"/>
        </w:numPr>
        <w:autoSpaceDE w:val="0"/>
        <w:autoSpaceDN w:val="0"/>
        <w:adjustRightInd w:val="0"/>
        <w:spacing w:after="0" w:line="240" w:lineRule="auto"/>
        <w:rPr>
          <w:rFonts w:ascii="Calibri" w:eastAsiaTheme="minorEastAsia" w:hAnsi="Calibri" w:cs="Calibri"/>
          <w:color w:val="000000"/>
        </w:rPr>
      </w:pPr>
      <w:r w:rsidRPr="00FD542E">
        <w:rPr>
          <w:rFonts w:ascii="Calibri" w:eastAsiaTheme="minorEastAsia" w:hAnsi="Calibri" w:cs="Calibri"/>
          <w:color w:val="000000"/>
        </w:rPr>
        <w:t>Wenn man Elektronenstrahlung möglichst effektiv abschirmen möchte, wie muss die Abschirmung positioniert werden und wie sollte sie aufgebaut sein, wenn nur wenig Raum zu Verfügung steht</w:t>
      </w:r>
      <w:r>
        <w:rPr>
          <w:rFonts w:ascii="Calibri" w:eastAsiaTheme="minorEastAsia" w:hAnsi="Calibri" w:cs="Calibri"/>
          <w:color w:val="000000"/>
        </w:rPr>
        <w:t>?</w:t>
      </w:r>
    </w:p>
    <w:p w14:paraId="4C652ABA" w14:textId="4FEC9FA2" w:rsidR="005753F4" w:rsidRDefault="005753F4" w:rsidP="005753F4">
      <w:pPr>
        <w:autoSpaceDE w:val="0"/>
        <w:autoSpaceDN w:val="0"/>
        <w:adjustRightInd w:val="0"/>
        <w:spacing w:after="0" w:line="240" w:lineRule="auto"/>
        <w:rPr>
          <w:rFonts w:ascii="Calibri" w:eastAsiaTheme="minorEastAsia" w:hAnsi="Calibri" w:cs="Calibri"/>
          <w:color w:val="000000"/>
        </w:rPr>
      </w:pPr>
    </w:p>
    <w:p w14:paraId="2F3865C6" w14:textId="1097571A" w:rsidR="00CA4256" w:rsidRDefault="00271AAF" w:rsidP="00DE717E">
      <w:pPr>
        <w:autoSpaceDE w:val="0"/>
        <w:autoSpaceDN w:val="0"/>
        <w:adjustRightInd w:val="0"/>
        <w:spacing w:after="0" w:line="240" w:lineRule="auto"/>
        <w:ind w:left="708"/>
        <w:rPr>
          <w:rFonts w:ascii="Calibri" w:eastAsiaTheme="minorEastAsia" w:hAnsi="Calibri" w:cs="Calibri"/>
          <w:i/>
          <w:iCs/>
          <w:color w:val="FF0000"/>
        </w:rPr>
      </w:pPr>
      <w:r>
        <w:rPr>
          <w:rFonts w:ascii="Calibri" w:eastAsiaTheme="minorEastAsia" w:hAnsi="Calibri" w:cs="Calibri"/>
          <w:i/>
          <w:iCs/>
          <w:color w:val="FF0000"/>
        </w:rPr>
        <w:t xml:space="preserve">Die Abschirmung von Elektronen sollte am besten </w:t>
      </w:r>
      <w:r w:rsidR="00E20D70">
        <w:rPr>
          <w:rFonts w:ascii="Calibri" w:eastAsiaTheme="minorEastAsia" w:hAnsi="Calibri" w:cs="Calibri"/>
          <w:i/>
          <w:iCs/>
          <w:color w:val="FF0000"/>
        </w:rPr>
        <w:t xml:space="preserve">mit Materialien mit niedrigem z </w:t>
      </w:r>
      <w:r w:rsidR="00A67122">
        <w:rPr>
          <w:rFonts w:ascii="Calibri" w:eastAsiaTheme="minorEastAsia" w:hAnsi="Calibri" w:cs="Calibri"/>
          <w:i/>
          <w:iCs/>
          <w:color w:val="FF0000"/>
        </w:rPr>
        <w:t>(z.B. Plexiglas</w:t>
      </w:r>
      <w:r w:rsidR="00BC1223">
        <w:rPr>
          <w:rFonts w:ascii="Calibri" w:eastAsiaTheme="minorEastAsia" w:hAnsi="Calibri" w:cs="Calibri"/>
          <w:i/>
          <w:iCs/>
          <w:color w:val="FF0000"/>
        </w:rPr>
        <w:t xml:space="preserve">) </w:t>
      </w:r>
      <w:r w:rsidR="00013282">
        <w:rPr>
          <w:rFonts w:ascii="Calibri" w:eastAsiaTheme="minorEastAsia" w:hAnsi="Calibri" w:cs="Calibri"/>
          <w:i/>
          <w:iCs/>
          <w:color w:val="FF0000"/>
        </w:rPr>
        <w:t xml:space="preserve">vorgenommen werden. Da dabei allerdings Bremsstrahlung entstehen kann, </w:t>
      </w:r>
      <w:r w:rsidR="00D41836">
        <w:rPr>
          <w:rFonts w:ascii="Calibri" w:eastAsiaTheme="minorEastAsia" w:hAnsi="Calibri" w:cs="Calibri"/>
          <w:i/>
          <w:iCs/>
          <w:color w:val="FF0000"/>
        </w:rPr>
        <w:t xml:space="preserve">sollte dahinter nochmals mit einem hoch-z-Material diese abgeschirmt </w:t>
      </w:r>
      <w:r w:rsidR="00E15F18">
        <w:rPr>
          <w:rFonts w:ascii="Calibri" w:eastAsiaTheme="minorEastAsia" w:hAnsi="Calibri" w:cs="Calibri"/>
          <w:i/>
          <w:iCs/>
          <w:color w:val="FF0000"/>
        </w:rPr>
        <w:t xml:space="preserve">werden. </w:t>
      </w:r>
      <w:r w:rsidR="003007C3">
        <w:rPr>
          <w:rFonts w:ascii="Calibri" w:eastAsiaTheme="minorEastAsia" w:hAnsi="Calibri" w:cs="Calibri"/>
          <w:i/>
          <w:iCs/>
          <w:color w:val="FF0000"/>
        </w:rPr>
        <w:t>Eine Positionierung der Abschirmung nahe an der Strahlungsquelle bietet den Vorteil einer</w:t>
      </w:r>
      <w:r w:rsidR="00A7405C">
        <w:rPr>
          <w:rFonts w:ascii="Calibri" w:eastAsiaTheme="minorEastAsia" w:hAnsi="Calibri" w:cs="Calibri"/>
          <w:i/>
          <w:iCs/>
          <w:color w:val="FF0000"/>
        </w:rPr>
        <w:t xml:space="preserve"> </w:t>
      </w:r>
      <w:r w:rsidR="00BC1223">
        <w:rPr>
          <w:rFonts w:ascii="Calibri" w:eastAsiaTheme="minorEastAsia" w:hAnsi="Calibri" w:cs="Calibri"/>
          <w:i/>
          <w:iCs/>
          <w:color w:val="FF0000"/>
        </w:rPr>
        <w:t>großen Winkelabdeckung</w:t>
      </w:r>
      <w:r w:rsidR="00DE7DE6">
        <w:rPr>
          <w:rFonts w:ascii="Calibri" w:eastAsiaTheme="minorEastAsia" w:hAnsi="Calibri" w:cs="Calibri"/>
          <w:i/>
          <w:iCs/>
          <w:color w:val="FF0000"/>
        </w:rPr>
        <w:t xml:space="preserve">, jedoch streut </w:t>
      </w:r>
      <w:r w:rsidR="00561FC7">
        <w:rPr>
          <w:rFonts w:ascii="Calibri" w:eastAsiaTheme="minorEastAsia" w:hAnsi="Calibri" w:cs="Calibri"/>
          <w:i/>
          <w:iCs/>
          <w:color w:val="FF0000"/>
        </w:rPr>
        <w:t>sich auch nach der Abschirmung der Elektronenstrahl</w:t>
      </w:r>
      <w:r w:rsidR="00A30657">
        <w:rPr>
          <w:rFonts w:ascii="Calibri" w:eastAsiaTheme="minorEastAsia" w:hAnsi="Calibri" w:cs="Calibri"/>
          <w:i/>
          <w:iCs/>
          <w:color w:val="FF0000"/>
        </w:rPr>
        <w:t>, bei einem großen Abstand der Abschirmung zum zu schützenden Ort,</w:t>
      </w:r>
      <w:r w:rsidR="00561FC7">
        <w:rPr>
          <w:rFonts w:ascii="Calibri" w:eastAsiaTheme="minorEastAsia" w:hAnsi="Calibri" w:cs="Calibri"/>
          <w:i/>
          <w:iCs/>
          <w:color w:val="FF0000"/>
        </w:rPr>
        <w:t xml:space="preserve"> wieder auf. </w:t>
      </w:r>
    </w:p>
    <w:p w14:paraId="101BEE8E" w14:textId="4A046855" w:rsidR="00561FC7" w:rsidRPr="00816C44" w:rsidRDefault="00561FC7" w:rsidP="00DE717E">
      <w:pPr>
        <w:autoSpaceDE w:val="0"/>
        <w:autoSpaceDN w:val="0"/>
        <w:adjustRightInd w:val="0"/>
        <w:spacing w:after="0" w:line="240" w:lineRule="auto"/>
        <w:ind w:left="708"/>
        <w:rPr>
          <w:rFonts w:ascii="Calibri" w:eastAsiaTheme="minorEastAsia" w:hAnsi="Calibri" w:cs="Calibri"/>
          <w:i/>
          <w:iCs/>
          <w:color w:val="FF0000"/>
        </w:rPr>
      </w:pPr>
      <w:r>
        <w:rPr>
          <w:rFonts w:ascii="Calibri" w:eastAsiaTheme="minorEastAsia" w:hAnsi="Calibri" w:cs="Calibri"/>
          <w:i/>
          <w:iCs/>
          <w:color w:val="FF0000"/>
        </w:rPr>
        <w:lastRenderedPageBreak/>
        <w:t>Bei einem großen Abstand der Quelle zu</w:t>
      </w:r>
      <w:r w:rsidR="00A30657">
        <w:rPr>
          <w:rFonts w:ascii="Calibri" w:eastAsiaTheme="minorEastAsia" w:hAnsi="Calibri" w:cs="Calibri"/>
          <w:i/>
          <w:iCs/>
          <w:color w:val="FF0000"/>
        </w:rPr>
        <w:t xml:space="preserve">r Abschirmung ist die </w:t>
      </w:r>
      <w:r w:rsidR="00FF724D">
        <w:rPr>
          <w:rFonts w:ascii="Calibri" w:eastAsiaTheme="minorEastAsia" w:hAnsi="Calibri" w:cs="Calibri"/>
          <w:i/>
          <w:iCs/>
          <w:color w:val="FF0000"/>
        </w:rPr>
        <w:t>Strahlung bereits durch Wechselwirkungen mit der Luft geschwächt</w:t>
      </w:r>
      <w:r w:rsidR="00C53EB9">
        <w:rPr>
          <w:rFonts w:ascii="Calibri" w:eastAsiaTheme="minorEastAsia" w:hAnsi="Calibri" w:cs="Calibri"/>
          <w:i/>
          <w:iCs/>
          <w:color w:val="FF0000"/>
        </w:rPr>
        <w:t xml:space="preserve"> und das Abstandquadrat </w:t>
      </w:r>
      <w:r w:rsidR="00F251C2">
        <w:rPr>
          <w:rFonts w:ascii="Calibri" w:eastAsiaTheme="minorEastAsia" w:hAnsi="Calibri" w:cs="Calibri"/>
          <w:i/>
          <w:iCs/>
          <w:color w:val="FF0000"/>
        </w:rPr>
        <w:t>zum Tragen kommt</w:t>
      </w:r>
      <w:r w:rsidR="00FF724D">
        <w:rPr>
          <w:rFonts w:ascii="Calibri" w:eastAsiaTheme="minorEastAsia" w:hAnsi="Calibri" w:cs="Calibri"/>
          <w:i/>
          <w:iCs/>
          <w:color w:val="FF0000"/>
        </w:rPr>
        <w:t xml:space="preserve">. </w:t>
      </w:r>
      <w:r w:rsidR="00407FC7">
        <w:rPr>
          <w:rFonts w:ascii="Calibri" w:eastAsiaTheme="minorEastAsia" w:hAnsi="Calibri" w:cs="Calibri"/>
          <w:i/>
          <w:iCs/>
          <w:color w:val="FF0000"/>
        </w:rPr>
        <w:t xml:space="preserve">Bei einem kleinen Abstand der Abschirmung zur Person </w:t>
      </w:r>
      <w:r w:rsidR="006D50CD">
        <w:rPr>
          <w:rFonts w:ascii="Calibri" w:eastAsiaTheme="minorEastAsia" w:hAnsi="Calibri" w:cs="Calibri"/>
          <w:i/>
          <w:iCs/>
          <w:color w:val="FF0000"/>
        </w:rPr>
        <w:t xml:space="preserve">findet kaum Aufstreuung nach der Abschirmung </w:t>
      </w:r>
      <w:r w:rsidR="00C53EB9">
        <w:rPr>
          <w:rFonts w:ascii="Calibri" w:eastAsiaTheme="minorEastAsia" w:hAnsi="Calibri" w:cs="Calibri"/>
          <w:i/>
          <w:iCs/>
          <w:color w:val="FF0000"/>
        </w:rPr>
        <w:t xml:space="preserve">statt. </w:t>
      </w:r>
    </w:p>
    <w:p w14:paraId="79EADEA3" w14:textId="77777777" w:rsidR="00CA4256" w:rsidRPr="00CA4256" w:rsidRDefault="00CA4256" w:rsidP="00CA4256">
      <w:pPr>
        <w:autoSpaceDE w:val="0"/>
        <w:autoSpaceDN w:val="0"/>
        <w:adjustRightInd w:val="0"/>
        <w:spacing w:after="0" w:line="240" w:lineRule="auto"/>
        <w:ind w:left="708"/>
        <w:rPr>
          <w:rFonts w:ascii="Calibri" w:eastAsiaTheme="minorEastAsia" w:hAnsi="Calibri" w:cs="Calibri"/>
          <w:i/>
          <w:iCs/>
          <w:color w:val="FF0000"/>
        </w:rPr>
      </w:pPr>
    </w:p>
    <w:p w14:paraId="4A2F02A0" w14:textId="7D3C5269" w:rsidR="00FD542E" w:rsidRDefault="00FD542E" w:rsidP="00FD542E">
      <w:pPr>
        <w:autoSpaceDE w:val="0"/>
        <w:autoSpaceDN w:val="0"/>
        <w:adjustRightInd w:val="0"/>
        <w:spacing w:after="0" w:line="240" w:lineRule="auto"/>
        <w:rPr>
          <w:rFonts w:ascii="Calibri" w:eastAsiaTheme="minorEastAsia" w:hAnsi="Calibri" w:cs="Calibri"/>
          <w:color w:val="000000"/>
        </w:rPr>
      </w:pPr>
    </w:p>
    <w:p w14:paraId="0E328F31" w14:textId="0A2AC0A8" w:rsidR="00FD542E" w:rsidRDefault="00FD542E" w:rsidP="00FD542E">
      <w:pPr>
        <w:pStyle w:val="Listenabsatz"/>
        <w:numPr>
          <w:ilvl w:val="0"/>
          <w:numId w:val="2"/>
        </w:numPr>
        <w:autoSpaceDE w:val="0"/>
        <w:autoSpaceDN w:val="0"/>
        <w:adjustRightInd w:val="0"/>
        <w:spacing w:after="0" w:line="240" w:lineRule="auto"/>
        <w:rPr>
          <w:rFonts w:ascii="Calibri" w:eastAsiaTheme="minorEastAsia" w:hAnsi="Calibri" w:cs="Calibri"/>
          <w:color w:val="000000"/>
        </w:rPr>
      </w:pPr>
      <w:r>
        <w:rPr>
          <w:rFonts w:ascii="Calibri" w:eastAsiaTheme="minorEastAsia" w:hAnsi="Calibri" w:cs="Calibri"/>
          <w:color w:val="000000"/>
        </w:rPr>
        <w:t>Welche Funktionen kann eine radioaktive Kontrollvorrichtung in der Dosimetrie mit luftgefüllten Ionisationskammern spielen?</w:t>
      </w:r>
    </w:p>
    <w:p w14:paraId="252DA5C1" w14:textId="02EABFA1" w:rsidR="002F0B02" w:rsidRDefault="002F0B02" w:rsidP="002F0B02">
      <w:pPr>
        <w:autoSpaceDE w:val="0"/>
        <w:autoSpaceDN w:val="0"/>
        <w:adjustRightInd w:val="0"/>
        <w:spacing w:after="0" w:line="240" w:lineRule="auto"/>
        <w:rPr>
          <w:rFonts w:ascii="Calibri" w:eastAsiaTheme="minorEastAsia" w:hAnsi="Calibri" w:cs="Calibri"/>
          <w:color w:val="000000"/>
        </w:rPr>
      </w:pPr>
    </w:p>
    <w:p w14:paraId="02C62895" w14:textId="1712191A" w:rsidR="002F0B02" w:rsidRPr="00D5086C" w:rsidRDefault="00933B54" w:rsidP="00C8658F">
      <w:pPr>
        <w:autoSpaceDE w:val="0"/>
        <w:autoSpaceDN w:val="0"/>
        <w:adjustRightInd w:val="0"/>
        <w:spacing w:after="0" w:line="240" w:lineRule="auto"/>
        <w:ind w:left="708"/>
        <w:rPr>
          <w:rFonts w:ascii="Calibri" w:eastAsiaTheme="minorEastAsia" w:hAnsi="Calibri" w:cs="Calibri"/>
          <w:i/>
          <w:iCs/>
          <w:color w:val="FF0000"/>
        </w:rPr>
      </w:pPr>
      <w:r>
        <w:rPr>
          <w:rFonts w:ascii="Calibri" w:eastAsiaTheme="minorEastAsia" w:hAnsi="Calibri" w:cs="Calibri"/>
          <w:i/>
          <w:iCs/>
          <w:color w:val="FF0000"/>
        </w:rPr>
        <w:t xml:space="preserve">Bestimmung der Luftdichte durch Messung </w:t>
      </w:r>
      <w:r w:rsidR="00983D7A">
        <w:rPr>
          <w:rFonts w:ascii="Calibri" w:eastAsiaTheme="minorEastAsia" w:hAnsi="Calibri" w:cs="Calibri"/>
          <w:i/>
          <w:iCs/>
          <w:color w:val="FF0000"/>
        </w:rPr>
        <w:t xml:space="preserve">der </w:t>
      </w:r>
      <w:r w:rsidR="007A51D8">
        <w:rPr>
          <w:rFonts w:ascii="Calibri" w:eastAsiaTheme="minorEastAsia" w:hAnsi="Calibri" w:cs="Calibri"/>
          <w:i/>
          <w:iCs/>
          <w:color w:val="FF0000"/>
        </w:rPr>
        <w:t>Dosisleistung</w:t>
      </w:r>
      <w:r w:rsidR="00863EF4">
        <w:rPr>
          <w:rFonts w:ascii="Calibri" w:eastAsiaTheme="minorEastAsia" w:hAnsi="Calibri" w:cs="Calibri"/>
          <w:i/>
          <w:iCs/>
          <w:color w:val="FF0000"/>
        </w:rPr>
        <w:t xml:space="preserve"> (zur Bestimmung </w:t>
      </w:r>
      <w:r w:rsidR="00FC7B8A">
        <w:rPr>
          <w:rFonts w:ascii="Calibri" w:eastAsiaTheme="minorEastAsia" w:hAnsi="Calibri" w:cs="Calibri"/>
          <w:i/>
          <w:iCs/>
          <w:color w:val="FF0000"/>
        </w:rPr>
        <w:t>von k</w:t>
      </w:r>
      <w:r w:rsidR="00D5086C">
        <w:rPr>
          <w:rFonts w:ascii="Calibri" w:eastAsiaTheme="minorEastAsia" w:hAnsi="Calibri" w:cs="Calibri"/>
          <w:i/>
          <w:iCs/>
          <w:color w:val="FF0000"/>
          <w:vertAlign w:val="subscript"/>
        </w:rPr>
        <w:t>ρ</w:t>
      </w:r>
      <w:r w:rsidR="00D5086C">
        <w:rPr>
          <w:rFonts w:ascii="Calibri" w:eastAsiaTheme="minorEastAsia" w:hAnsi="Calibri" w:cs="Calibri"/>
          <w:i/>
          <w:iCs/>
          <w:color w:val="FF0000"/>
        </w:rPr>
        <w:t>)</w:t>
      </w:r>
    </w:p>
    <w:p w14:paraId="11E6A6C5" w14:textId="4CD57EDF" w:rsidR="003375BD" w:rsidRPr="00C8658F" w:rsidRDefault="00940941" w:rsidP="00C8658F">
      <w:pPr>
        <w:autoSpaceDE w:val="0"/>
        <w:autoSpaceDN w:val="0"/>
        <w:adjustRightInd w:val="0"/>
        <w:spacing w:after="0" w:line="240" w:lineRule="auto"/>
        <w:ind w:left="708"/>
        <w:rPr>
          <w:rFonts w:ascii="Calibri" w:eastAsiaTheme="minorEastAsia" w:hAnsi="Calibri" w:cs="Calibri"/>
          <w:i/>
          <w:iCs/>
          <w:color w:val="FF0000"/>
        </w:rPr>
      </w:pPr>
      <w:r>
        <w:rPr>
          <w:rFonts w:ascii="Calibri" w:eastAsiaTheme="minorEastAsia" w:hAnsi="Calibri" w:cs="Calibri"/>
          <w:i/>
          <w:iCs/>
          <w:color w:val="FF0000"/>
        </w:rPr>
        <w:t>Überp</w:t>
      </w:r>
      <w:r w:rsidR="00804AAA">
        <w:rPr>
          <w:rFonts w:ascii="Calibri" w:eastAsiaTheme="minorEastAsia" w:hAnsi="Calibri" w:cs="Calibri"/>
          <w:i/>
          <w:iCs/>
          <w:color w:val="FF0000"/>
        </w:rPr>
        <w:t>r</w:t>
      </w:r>
      <w:r>
        <w:rPr>
          <w:rFonts w:ascii="Calibri" w:eastAsiaTheme="minorEastAsia" w:hAnsi="Calibri" w:cs="Calibri"/>
          <w:i/>
          <w:iCs/>
          <w:color w:val="FF0000"/>
        </w:rPr>
        <w:t>üfung</w:t>
      </w:r>
      <w:r w:rsidR="00567D24">
        <w:rPr>
          <w:rFonts w:ascii="Calibri" w:eastAsiaTheme="minorEastAsia" w:hAnsi="Calibri" w:cs="Calibri"/>
          <w:i/>
          <w:iCs/>
          <w:color w:val="FF0000"/>
        </w:rPr>
        <w:t xml:space="preserve"> des Mess</w:t>
      </w:r>
      <w:r w:rsidR="00D05D2F">
        <w:rPr>
          <w:rFonts w:ascii="Calibri" w:eastAsiaTheme="minorEastAsia" w:hAnsi="Calibri" w:cs="Calibri"/>
          <w:i/>
          <w:iCs/>
          <w:color w:val="FF0000"/>
        </w:rPr>
        <w:t xml:space="preserve">equipments (Vergleichsmessung zu Berechnung </w:t>
      </w:r>
      <w:r w:rsidR="00EB3FDA">
        <w:rPr>
          <w:rFonts w:ascii="Calibri" w:eastAsiaTheme="minorEastAsia" w:hAnsi="Calibri" w:cs="Calibri"/>
          <w:i/>
          <w:iCs/>
          <w:color w:val="FF0000"/>
        </w:rPr>
        <w:t>von k</w:t>
      </w:r>
      <w:r w:rsidR="00EB3FDA">
        <w:rPr>
          <w:rFonts w:ascii="Calibri" w:eastAsiaTheme="minorEastAsia" w:hAnsi="Calibri" w:cs="Calibri"/>
          <w:i/>
          <w:iCs/>
          <w:color w:val="FF0000"/>
          <w:vertAlign w:val="subscript"/>
        </w:rPr>
        <w:t>ρ</w:t>
      </w:r>
      <w:r w:rsidR="00E744E7">
        <w:rPr>
          <w:rFonts w:ascii="Calibri" w:eastAsiaTheme="minorEastAsia" w:hAnsi="Calibri" w:cs="Calibri"/>
          <w:i/>
          <w:iCs/>
          <w:color w:val="FF0000"/>
        </w:rPr>
        <w:t>)</w:t>
      </w:r>
    </w:p>
    <w:p w14:paraId="531E69B6" w14:textId="77777777" w:rsidR="00FD542E" w:rsidRPr="00FD542E" w:rsidRDefault="00FD542E" w:rsidP="00FD542E">
      <w:pPr>
        <w:pStyle w:val="Listenabsatz"/>
        <w:rPr>
          <w:rFonts w:ascii="Calibri" w:eastAsiaTheme="minorEastAsia" w:hAnsi="Calibri" w:cs="Calibri"/>
          <w:color w:val="000000"/>
        </w:rPr>
      </w:pPr>
    </w:p>
    <w:p w14:paraId="05596FB0" w14:textId="357114BE" w:rsidR="00FD542E" w:rsidRDefault="00FD542E" w:rsidP="00FD542E">
      <w:pPr>
        <w:pStyle w:val="Listenabsatz"/>
        <w:numPr>
          <w:ilvl w:val="0"/>
          <w:numId w:val="2"/>
        </w:numPr>
        <w:autoSpaceDE w:val="0"/>
        <w:autoSpaceDN w:val="0"/>
        <w:adjustRightInd w:val="0"/>
        <w:spacing w:after="0" w:line="240" w:lineRule="auto"/>
        <w:rPr>
          <w:rFonts w:ascii="Calibri" w:eastAsiaTheme="minorEastAsia" w:hAnsi="Calibri" w:cs="Calibri"/>
          <w:color w:val="000000"/>
        </w:rPr>
      </w:pPr>
      <w:r>
        <w:rPr>
          <w:rFonts w:ascii="Calibri" w:eastAsiaTheme="minorEastAsia" w:hAnsi="Calibri" w:cs="Calibri"/>
          <w:color w:val="000000"/>
        </w:rPr>
        <w:t>Warum wird im baulichen Strahlenschutz ein IMRT-Faktor verwendet, auch wenn die am Patienten applizierte Dosis dieselbe ist wie bei konventionellen Bestrahlungstechniken?</w:t>
      </w:r>
    </w:p>
    <w:p w14:paraId="4E358DCC" w14:textId="29A48124" w:rsidR="00EB3FDA" w:rsidRDefault="00EB3FDA" w:rsidP="00EB3FDA">
      <w:pPr>
        <w:autoSpaceDE w:val="0"/>
        <w:autoSpaceDN w:val="0"/>
        <w:adjustRightInd w:val="0"/>
        <w:spacing w:after="0" w:line="240" w:lineRule="auto"/>
        <w:rPr>
          <w:rFonts w:ascii="Calibri" w:eastAsiaTheme="minorEastAsia" w:hAnsi="Calibri" w:cs="Calibri"/>
          <w:color w:val="000000"/>
        </w:rPr>
      </w:pPr>
    </w:p>
    <w:p w14:paraId="2D073BBC" w14:textId="6F86281C" w:rsidR="009F5997" w:rsidRPr="009F5997" w:rsidRDefault="00A458A1" w:rsidP="00A478C4">
      <w:pPr>
        <w:autoSpaceDE w:val="0"/>
        <w:autoSpaceDN w:val="0"/>
        <w:adjustRightInd w:val="0"/>
        <w:spacing w:after="0" w:line="240" w:lineRule="auto"/>
        <w:ind w:left="708"/>
        <w:rPr>
          <w:rFonts w:ascii="Calibri" w:eastAsiaTheme="minorEastAsia" w:hAnsi="Calibri" w:cs="Calibri"/>
          <w:i/>
          <w:iCs/>
          <w:color w:val="FF0000"/>
        </w:rPr>
      </w:pPr>
      <w:r>
        <w:rPr>
          <w:rFonts w:ascii="Calibri" w:eastAsiaTheme="minorEastAsia" w:hAnsi="Calibri" w:cs="Calibri"/>
          <w:i/>
          <w:iCs/>
          <w:color w:val="FF0000"/>
        </w:rPr>
        <w:t xml:space="preserve">Bei der </w:t>
      </w:r>
      <w:r w:rsidR="00715229">
        <w:rPr>
          <w:rFonts w:ascii="Calibri" w:eastAsiaTheme="minorEastAsia" w:hAnsi="Calibri" w:cs="Calibri"/>
          <w:i/>
          <w:iCs/>
          <w:color w:val="FF0000"/>
        </w:rPr>
        <w:t xml:space="preserve">Durchführung </w:t>
      </w:r>
      <w:r w:rsidR="00BE1BEB">
        <w:rPr>
          <w:rFonts w:ascii="Calibri" w:eastAsiaTheme="minorEastAsia" w:hAnsi="Calibri" w:cs="Calibri"/>
          <w:i/>
          <w:iCs/>
          <w:color w:val="FF0000"/>
        </w:rPr>
        <w:t>von i</w:t>
      </w:r>
      <w:r w:rsidR="00A863FC">
        <w:rPr>
          <w:rFonts w:ascii="Calibri" w:eastAsiaTheme="minorEastAsia" w:hAnsi="Calibri" w:cs="Calibri"/>
          <w:i/>
          <w:iCs/>
          <w:color w:val="FF0000"/>
        </w:rPr>
        <w:t>ntensitätsmodulierter Strahlentherapie</w:t>
      </w:r>
      <w:r w:rsidR="00D541E6">
        <w:rPr>
          <w:rFonts w:ascii="Calibri" w:eastAsiaTheme="minorEastAsia" w:hAnsi="Calibri" w:cs="Calibri"/>
          <w:i/>
          <w:iCs/>
          <w:color w:val="FF0000"/>
        </w:rPr>
        <w:t xml:space="preserve"> werden, aufgrund </w:t>
      </w:r>
      <w:r w:rsidR="00801874">
        <w:rPr>
          <w:rFonts w:ascii="Calibri" w:eastAsiaTheme="minorEastAsia" w:hAnsi="Calibri" w:cs="Calibri"/>
          <w:i/>
          <w:iCs/>
          <w:color w:val="FF0000"/>
        </w:rPr>
        <w:t>der Verwendung sehr vieler kleiner</w:t>
      </w:r>
      <w:r w:rsidR="00F02057">
        <w:rPr>
          <w:rFonts w:ascii="Calibri" w:eastAsiaTheme="minorEastAsia" w:hAnsi="Calibri" w:cs="Calibri"/>
          <w:i/>
          <w:iCs/>
          <w:color w:val="FF0000"/>
        </w:rPr>
        <w:t xml:space="preserve"> Felder</w:t>
      </w:r>
      <w:r w:rsidR="0047117A">
        <w:rPr>
          <w:rFonts w:ascii="Calibri" w:eastAsiaTheme="minorEastAsia" w:hAnsi="Calibri" w:cs="Calibri"/>
          <w:i/>
          <w:iCs/>
          <w:color w:val="FF0000"/>
        </w:rPr>
        <w:t xml:space="preserve">, mehr Monitoreinheiten </w:t>
      </w:r>
      <w:r w:rsidR="00E01D45">
        <w:rPr>
          <w:rFonts w:ascii="Calibri" w:eastAsiaTheme="minorEastAsia" w:hAnsi="Calibri" w:cs="Calibri"/>
          <w:i/>
          <w:iCs/>
          <w:color w:val="FF0000"/>
        </w:rPr>
        <w:t xml:space="preserve">für dieselbe Dosis </w:t>
      </w:r>
      <w:r w:rsidR="00C96C03">
        <w:rPr>
          <w:rFonts w:ascii="Calibri" w:eastAsiaTheme="minorEastAsia" w:hAnsi="Calibri" w:cs="Calibri"/>
          <w:i/>
          <w:iCs/>
          <w:color w:val="FF0000"/>
        </w:rPr>
        <w:t>benötigt</w:t>
      </w:r>
      <w:r w:rsidR="009E54F3">
        <w:rPr>
          <w:rFonts w:ascii="Calibri" w:eastAsiaTheme="minorEastAsia" w:hAnsi="Calibri" w:cs="Calibri"/>
          <w:i/>
          <w:iCs/>
          <w:color w:val="FF0000"/>
        </w:rPr>
        <w:t>.</w:t>
      </w:r>
      <w:r w:rsidR="00405BBE">
        <w:rPr>
          <w:rFonts w:ascii="Calibri" w:eastAsiaTheme="minorEastAsia" w:hAnsi="Calibri" w:cs="Calibri"/>
          <w:i/>
          <w:iCs/>
          <w:color w:val="FF0000"/>
        </w:rPr>
        <w:t xml:space="preserve"> </w:t>
      </w:r>
      <w:r w:rsidR="00C955C3">
        <w:rPr>
          <w:rFonts w:ascii="Calibri" w:eastAsiaTheme="minorEastAsia" w:hAnsi="Calibri" w:cs="Calibri"/>
          <w:i/>
          <w:iCs/>
          <w:color w:val="FF0000"/>
        </w:rPr>
        <w:t xml:space="preserve">Somit </w:t>
      </w:r>
      <w:r w:rsidR="003F33CA">
        <w:rPr>
          <w:rFonts w:ascii="Calibri" w:eastAsiaTheme="minorEastAsia" w:hAnsi="Calibri" w:cs="Calibri"/>
          <w:i/>
          <w:iCs/>
          <w:color w:val="FF0000"/>
        </w:rPr>
        <w:t xml:space="preserve">sind aufgrund </w:t>
      </w:r>
      <w:r w:rsidR="00D3344D">
        <w:rPr>
          <w:rFonts w:ascii="Calibri" w:eastAsiaTheme="minorEastAsia" w:hAnsi="Calibri" w:cs="Calibri"/>
          <w:i/>
          <w:iCs/>
          <w:color w:val="FF0000"/>
        </w:rPr>
        <w:t xml:space="preserve">von mehr </w:t>
      </w:r>
      <w:r w:rsidR="00AC7878">
        <w:rPr>
          <w:rFonts w:ascii="Calibri" w:eastAsiaTheme="minorEastAsia" w:hAnsi="Calibri" w:cs="Calibri"/>
          <w:i/>
          <w:iCs/>
          <w:color w:val="FF0000"/>
        </w:rPr>
        <w:t>Durchlassstrahlung</w:t>
      </w:r>
      <w:r w:rsidR="00F83B42">
        <w:rPr>
          <w:rFonts w:ascii="Calibri" w:eastAsiaTheme="minorEastAsia" w:hAnsi="Calibri" w:cs="Calibri"/>
          <w:i/>
          <w:iCs/>
          <w:color w:val="FF0000"/>
        </w:rPr>
        <w:t xml:space="preserve"> höhere </w:t>
      </w:r>
      <w:r w:rsidR="002C69B6">
        <w:rPr>
          <w:rFonts w:ascii="Calibri" w:eastAsiaTheme="minorEastAsia" w:hAnsi="Calibri" w:cs="Calibri"/>
          <w:i/>
          <w:iCs/>
          <w:color w:val="FF0000"/>
        </w:rPr>
        <w:t xml:space="preserve">Anforderungen an </w:t>
      </w:r>
      <w:r w:rsidR="00FE4B1D">
        <w:rPr>
          <w:rFonts w:ascii="Calibri" w:eastAsiaTheme="minorEastAsia" w:hAnsi="Calibri" w:cs="Calibri"/>
          <w:i/>
          <w:iCs/>
          <w:color w:val="FF0000"/>
        </w:rPr>
        <w:t xml:space="preserve">den Strahlenschutz gestellt. </w:t>
      </w:r>
    </w:p>
    <w:p w14:paraId="089F8764" w14:textId="77777777" w:rsidR="00FD542E" w:rsidRPr="00FD542E" w:rsidRDefault="00FD542E" w:rsidP="00FD542E">
      <w:pPr>
        <w:pStyle w:val="Listenabsatz"/>
        <w:rPr>
          <w:rFonts w:ascii="Calibri" w:eastAsiaTheme="minorEastAsia" w:hAnsi="Calibri" w:cs="Calibri"/>
          <w:color w:val="000000"/>
        </w:rPr>
      </w:pPr>
    </w:p>
    <w:p w14:paraId="0DBB9E3A" w14:textId="5CA57248" w:rsidR="001E1B96" w:rsidRPr="001E1B96" w:rsidRDefault="00FD542E" w:rsidP="001E1B96">
      <w:pPr>
        <w:pStyle w:val="Listenabsatz"/>
        <w:numPr>
          <w:ilvl w:val="0"/>
          <w:numId w:val="2"/>
        </w:numPr>
        <w:autoSpaceDE w:val="0"/>
        <w:autoSpaceDN w:val="0"/>
        <w:adjustRightInd w:val="0"/>
        <w:spacing w:after="0" w:line="240" w:lineRule="auto"/>
        <w:rPr>
          <w:rFonts w:ascii="Calibri" w:eastAsiaTheme="minorEastAsia" w:hAnsi="Calibri" w:cs="Calibri"/>
          <w:color w:val="000000"/>
        </w:rPr>
      </w:pPr>
      <w:r>
        <w:rPr>
          <w:rFonts w:ascii="Calibri" w:eastAsiaTheme="minorEastAsia" w:hAnsi="Calibri" w:cs="Calibri"/>
          <w:color w:val="000000"/>
        </w:rPr>
        <w:t>Warum ist der Korrektionsfaktor für Polarität nach DIN 6800-2 das Verhältnis aus den Polaritätskorrektionen bei der Strahlungsqualität der Messung und der Kalibrierung und nicht ausschließlich die Polaritätskorrektion bei der Strahlungsqualität der Messung</w:t>
      </w:r>
      <w:r w:rsidR="00A74618">
        <w:rPr>
          <w:rFonts w:ascii="Calibri" w:eastAsiaTheme="minorEastAsia" w:hAnsi="Calibri" w:cs="Calibri"/>
          <w:color w:val="000000"/>
        </w:rPr>
        <w:t>?</w:t>
      </w:r>
    </w:p>
    <w:p w14:paraId="700B98FC" w14:textId="62F6A001" w:rsidR="00A478C4" w:rsidRDefault="00A478C4" w:rsidP="00A478C4">
      <w:pPr>
        <w:autoSpaceDE w:val="0"/>
        <w:autoSpaceDN w:val="0"/>
        <w:adjustRightInd w:val="0"/>
        <w:spacing w:after="0" w:line="240" w:lineRule="auto"/>
        <w:rPr>
          <w:rFonts w:ascii="Calibri" w:eastAsiaTheme="minorEastAsia" w:hAnsi="Calibri" w:cs="Calibri"/>
          <w:color w:val="000000"/>
        </w:rPr>
      </w:pPr>
    </w:p>
    <w:p w14:paraId="521E2140" w14:textId="36929816" w:rsidR="001E1B96" w:rsidRDefault="001E1B96" w:rsidP="001E1B96">
      <w:pPr>
        <w:pStyle w:val="Default"/>
        <w:ind w:left="708"/>
        <w:rPr>
          <w:sz w:val="22"/>
          <w:szCs w:val="22"/>
        </w:rPr>
      </w:pPr>
      <w:r>
        <w:rPr>
          <w:i/>
          <w:iCs/>
          <w:color w:val="FF0000"/>
          <w:sz w:val="22"/>
          <w:szCs w:val="22"/>
        </w:rPr>
        <w:t>Bei der Kalibrierung</w:t>
      </w:r>
      <w:r w:rsidR="00E56632">
        <w:rPr>
          <w:i/>
          <w:iCs/>
          <w:color w:val="FF0000"/>
          <w:sz w:val="22"/>
          <w:szCs w:val="22"/>
        </w:rPr>
        <w:t xml:space="preserve"> treten auch Messfehler</w:t>
      </w:r>
      <w:r w:rsidR="00524C69">
        <w:rPr>
          <w:i/>
          <w:iCs/>
          <w:color w:val="FF0000"/>
          <w:sz w:val="22"/>
          <w:szCs w:val="22"/>
        </w:rPr>
        <w:t>, aufgrund der Polarität auf, die nicht i</w:t>
      </w:r>
      <w:r w:rsidR="00397B4E">
        <w:rPr>
          <w:i/>
          <w:iCs/>
          <w:color w:val="FF0000"/>
          <w:sz w:val="22"/>
          <w:szCs w:val="22"/>
        </w:rPr>
        <w:t xml:space="preserve">m Kalibrierfaktor </w:t>
      </w:r>
      <w:r w:rsidR="001C4781">
        <w:rPr>
          <w:i/>
          <w:iCs/>
          <w:color w:val="FF0000"/>
          <w:sz w:val="22"/>
          <w:szCs w:val="22"/>
        </w:rPr>
        <w:t>berücksichtigt werden, auf</w:t>
      </w:r>
      <w:r>
        <w:rPr>
          <w:i/>
          <w:iCs/>
          <w:color w:val="FF0000"/>
          <w:sz w:val="22"/>
          <w:szCs w:val="22"/>
        </w:rPr>
        <w:t xml:space="preserve">. </w:t>
      </w:r>
      <w:r w:rsidR="00E56632">
        <w:rPr>
          <w:i/>
          <w:iCs/>
          <w:color w:val="FF0000"/>
          <w:sz w:val="22"/>
          <w:szCs w:val="22"/>
        </w:rPr>
        <w:t>F</w:t>
      </w:r>
      <w:r>
        <w:rPr>
          <w:i/>
          <w:iCs/>
          <w:color w:val="FF0000"/>
          <w:sz w:val="22"/>
          <w:szCs w:val="22"/>
        </w:rPr>
        <w:t>ür die Ermittlung des Korrektionsfaktors</w:t>
      </w:r>
      <w:r w:rsidR="00DF79B0">
        <w:rPr>
          <w:i/>
          <w:iCs/>
          <w:color w:val="FF0000"/>
          <w:sz w:val="22"/>
          <w:szCs w:val="22"/>
        </w:rPr>
        <w:t xml:space="preserve"> von k</w:t>
      </w:r>
      <w:r w:rsidR="00DF79B0">
        <w:rPr>
          <w:i/>
          <w:iCs/>
          <w:color w:val="FF0000"/>
          <w:sz w:val="22"/>
          <w:szCs w:val="22"/>
          <w:vertAlign w:val="subscript"/>
        </w:rPr>
        <w:t>p</w:t>
      </w:r>
      <w:r>
        <w:rPr>
          <w:i/>
          <w:iCs/>
          <w:color w:val="FF0000"/>
          <w:sz w:val="22"/>
          <w:szCs w:val="22"/>
        </w:rPr>
        <w:t xml:space="preserve"> </w:t>
      </w:r>
      <w:r w:rsidR="00387170">
        <w:rPr>
          <w:i/>
          <w:iCs/>
          <w:color w:val="FF0000"/>
          <w:sz w:val="22"/>
          <w:szCs w:val="22"/>
        </w:rPr>
        <w:t xml:space="preserve">wird </w:t>
      </w:r>
      <w:r>
        <w:rPr>
          <w:i/>
          <w:iCs/>
          <w:color w:val="FF0000"/>
          <w:sz w:val="22"/>
          <w:szCs w:val="22"/>
        </w:rPr>
        <w:t>das Verhältnis aus Messung und Kalibrierung verwendet</w:t>
      </w:r>
      <w:r w:rsidR="00125FAC">
        <w:rPr>
          <w:i/>
          <w:iCs/>
          <w:color w:val="FF0000"/>
          <w:sz w:val="22"/>
          <w:szCs w:val="22"/>
        </w:rPr>
        <w:t xml:space="preserve">, um diese </w:t>
      </w:r>
      <w:r w:rsidR="001C4781">
        <w:rPr>
          <w:i/>
          <w:iCs/>
          <w:color w:val="FF0000"/>
          <w:sz w:val="22"/>
          <w:szCs w:val="22"/>
        </w:rPr>
        <w:t>zu berücksichtigen</w:t>
      </w:r>
      <w:r>
        <w:rPr>
          <w:i/>
          <w:iCs/>
          <w:color w:val="FF0000"/>
          <w:sz w:val="22"/>
          <w:szCs w:val="22"/>
        </w:rPr>
        <w:t>.</w:t>
      </w:r>
      <w:r>
        <w:rPr>
          <w:b/>
          <w:bCs/>
          <w:sz w:val="22"/>
          <w:szCs w:val="22"/>
        </w:rPr>
        <w:t xml:space="preserve"> </w:t>
      </w:r>
    </w:p>
    <w:p w14:paraId="1F70E06F" w14:textId="77777777" w:rsidR="00A74618" w:rsidRPr="00A74618" w:rsidRDefault="00A74618" w:rsidP="00A74618">
      <w:pPr>
        <w:pStyle w:val="Listenabsatz"/>
        <w:rPr>
          <w:rFonts w:ascii="Calibri" w:eastAsiaTheme="minorEastAsia" w:hAnsi="Calibri" w:cs="Calibri"/>
          <w:color w:val="000000"/>
        </w:rPr>
      </w:pPr>
    </w:p>
    <w:p w14:paraId="68C9C3FE" w14:textId="18EEB30E" w:rsidR="00A74618" w:rsidRPr="00FD542E" w:rsidRDefault="00A74618" w:rsidP="00FD542E">
      <w:pPr>
        <w:pStyle w:val="Listenabsatz"/>
        <w:numPr>
          <w:ilvl w:val="0"/>
          <w:numId w:val="2"/>
        </w:numPr>
        <w:autoSpaceDE w:val="0"/>
        <w:autoSpaceDN w:val="0"/>
        <w:adjustRightInd w:val="0"/>
        <w:spacing w:after="0" w:line="240" w:lineRule="auto"/>
        <w:rPr>
          <w:rFonts w:ascii="Calibri" w:eastAsiaTheme="minorEastAsia" w:hAnsi="Calibri" w:cs="Calibri"/>
          <w:color w:val="000000"/>
        </w:rPr>
      </w:pPr>
      <w:r>
        <w:rPr>
          <w:rFonts w:ascii="Calibri" w:eastAsiaTheme="minorEastAsia" w:hAnsi="Calibri" w:cs="Calibri"/>
          <w:color w:val="000000"/>
        </w:rPr>
        <w:t>Es gibt 4 Charakteristika eines Tiefendosisverlaufes von Elektronenstrahlung, mit deren Hilfe man Aussagen über die Energie der Elektronenstrahlung machen kann. Welche sind das?</w:t>
      </w:r>
    </w:p>
    <w:p w14:paraId="1BFDC4FD" w14:textId="30E157C3" w:rsidR="00204864" w:rsidRDefault="00204864" w:rsidP="00B3489C">
      <w:pPr>
        <w:autoSpaceDE w:val="0"/>
        <w:autoSpaceDN w:val="0"/>
        <w:adjustRightInd w:val="0"/>
        <w:spacing w:after="0" w:line="240" w:lineRule="auto"/>
        <w:rPr>
          <w:rFonts w:ascii="Calibri" w:eastAsiaTheme="minorEastAsia" w:hAnsi="Calibri" w:cs="Calibri"/>
          <w:b/>
          <w:bCs/>
          <w:color w:val="000000"/>
        </w:rPr>
      </w:pPr>
    </w:p>
    <w:p w14:paraId="4FF0B087" w14:textId="6A76D9BC" w:rsidR="00DF79B0" w:rsidRDefault="005B6E25" w:rsidP="00DF79B0">
      <w:pPr>
        <w:autoSpaceDE w:val="0"/>
        <w:autoSpaceDN w:val="0"/>
        <w:adjustRightInd w:val="0"/>
        <w:spacing w:after="0" w:line="240" w:lineRule="auto"/>
        <w:ind w:left="708"/>
        <w:rPr>
          <w:rFonts w:ascii="Calibri" w:eastAsiaTheme="minorEastAsia" w:hAnsi="Calibri" w:cs="Calibri"/>
          <w:i/>
          <w:iCs/>
          <w:color w:val="FF0000"/>
        </w:rPr>
      </w:pPr>
      <w:r>
        <w:rPr>
          <w:rFonts w:ascii="Calibri" w:eastAsiaTheme="minorEastAsia" w:hAnsi="Calibri" w:cs="Calibri"/>
          <w:i/>
          <w:iCs/>
          <w:color w:val="FF0000"/>
        </w:rPr>
        <w:t>R</w:t>
      </w:r>
      <w:r>
        <w:rPr>
          <w:rFonts w:ascii="Calibri" w:eastAsiaTheme="minorEastAsia" w:hAnsi="Calibri" w:cs="Calibri"/>
          <w:i/>
          <w:iCs/>
          <w:color w:val="FF0000"/>
          <w:vertAlign w:val="subscript"/>
        </w:rPr>
        <w:t>50</w:t>
      </w:r>
      <w:r>
        <w:rPr>
          <w:rFonts w:ascii="Calibri" w:eastAsiaTheme="minorEastAsia" w:hAnsi="Calibri" w:cs="Calibri"/>
          <w:i/>
          <w:iCs/>
          <w:color w:val="FF0000"/>
        </w:rPr>
        <w:t xml:space="preserve"> (Halbwerttiefe) </w:t>
      </w:r>
    </w:p>
    <w:p w14:paraId="6C8BED58" w14:textId="2B5C2BFF" w:rsidR="005B6E25" w:rsidRDefault="00D500BD" w:rsidP="00DF79B0">
      <w:pPr>
        <w:autoSpaceDE w:val="0"/>
        <w:autoSpaceDN w:val="0"/>
        <w:adjustRightInd w:val="0"/>
        <w:spacing w:after="0" w:line="240" w:lineRule="auto"/>
        <w:ind w:left="708"/>
        <w:rPr>
          <w:rFonts w:ascii="Calibri" w:eastAsiaTheme="minorEastAsia" w:hAnsi="Calibri" w:cs="Calibri"/>
          <w:i/>
          <w:iCs/>
          <w:color w:val="FF0000"/>
        </w:rPr>
      </w:pPr>
      <w:r>
        <w:rPr>
          <w:rFonts w:ascii="Calibri" w:eastAsiaTheme="minorEastAsia" w:hAnsi="Calibri" w:cs="Calibri"/>
          <w:i/>
          <w:iCs/>
          <w:color w:val="FF0000"/>
        </w:rPr>
        <w:t>Oberflächendosis</w:t>
      </w:r>
    </w:p>
    <w:p w14:paraId="0A109149" w14:textId="70F91D1A" w:rsidR="00D500BD" w:rsidRDefault="00033B9A" w:rsidP="00DF79B0">
      <w:pPr>
        <w:autoSpaceDE w:val="0"/>
        <w:autoSpaceDN w:val="0"/>
        <w:adjustRightInd w:val="0"/>
        <w:spacing w:after="0" w:line="240" w:lineRule="auto"/>
        <w:ind w:left="708"/>
        <w:rPr>
          <w:rFonts w:ascii="Calibri" w:eastAsiaTheme="minorEastAsia" w:hAnsi="Calibri" w:cs="Calibri"/>
          <w:i/>
          <w:iCs/>
          <w:color w:val="FF0000"/>
        </w:rPr>
      </w:pPr>
      <w:r>
        <w:rPr>
          <w:rFonts w:ascii="Calibri" w:eastAsiaTheme="minorEastAsia" w:hAnsi="Calibri" w:cs="Calibri"/>
          <w:i/>
          <w:iCs/>
          <w:color w:val="FF0000"/>
        </w:rPr>
        <w:t>Tiefe des Dosismaximum</w:t>
      </w:r>
    </w:p>
    <w:p w14:paraId="1FDE7073" w14:textId="4098C3AE" w:rsidR="00D17B64" w:rsidRDefault="00367D90" w:rsidP="00DF79B0">
      <w:pPr>
        <w:autoSpaceDE w:val="0"/>
        <w:autoSpaceDN w:val="0"/>
        <w:adjustRightInd w:val="0"/>
        <w:spacing w:after="0" w:line="240" w:lineRule="auto"/>
        <w:ind w:left="708"/>
        <w:rPr>
          <w:rFonts w:ascii="Calibri" w:eastAsiaTheme="minorEastAsia" w:hAnsi="Calibri" w:cs="Calibri"/>
          <w:i/>
          <w:iCs/>
          <w:color w:val="FF0000"/>
        </w:rPr>
      </w:pPr>
      <w:r>
        <w:rPr>
          <w:rFonts w:ascii="Calibri" w:eastAsiaTheme="minorEastAsia" w:hAnsi="Calibri" w:cs="Calibri"/>
          <w:i/>
          <w:iCs/>
          <w:color w:val="FF0000"/>
        </w:rPr>
        <w:t>Dosisabfall</w:t>
      </w:r>
    </w:p>
    <w:p w14:paraId="3F97D2E3" w14:textId="64E8BB3C" w:rsidR="00127ADD" w:rsidRDefault="000A7BA2" w:rsidP="00DF79B0">
      <w:pPr>
        <w:autoSpaceDE w:val="0"/>
        <w:autoSpaceDN w:val="0"/>
        <w:adjustRightInd w:val="0"/>
        <w:spacing w:after="0" w:line="240" w:lineRule="auto"/>
        <w:ind w:left="708"/>
        <w:rPr>
          <w:rFonts w:ascii="Calibri" w:eastAsiaTheme="minorEastAsia" w:hAnsi="Calibri" w:cs="Calibri"/>
          <w:i/>
          <w:iCs/>
          <w:color w:val="FF0000"/>
        </w:rPr>
      </w:pPr>
      <w:r>
        <w:rPr>
          <w:rFonts w:ascii="Calibri" w:eastAsiaTheme="minorEastAsia" w:hAnsi="Calibri" w:cs="Calibri"/>
          <w:i/>
          <w:iCs/>
          <w:color w:val="FF0000"/>
        </w:rPr>
        <w:t>(therapeutische Reichweite)</w:t>
      </w:r>
    </w:p>
    <w:p w14:paraId="4F63E7D4" w14:textId="104929E0" w:rsidR="000A7BA2" w:rsidRPr="005B6E25" w:rsidRDefault="000A7BA2" w:rsidP="00DF79B0">
      <w:pPr>
        <w:autoSpaceDE w:val="0"/>
        <w:autoSpaceDN w:val="0"/>
        <w:adjustRightInd w:val="0"/>
        <w:spacing w:after="0" w:line="240" w:lineRule="auto"/>
        <w:ind w:left="708"/>
        <w:rPr>
          <w:rFonts w:ascii="Calibri" w:eastAsiaTheme="minorEastAsia" w:hAnsi="Calibri" w:cs="Calibri"/>
          <w:i/>
          <w:iCs/>
          <w:color w:val="FF0000"/>
        </w:rPr>
      </w:pPr>
      <w:r>
        <w:rPr>
          <w:rFonts w:ascii="Calibri" w:eastAsiaTheme="minorEastAsia" w:hAnsi="Calibri" w:cs="Calibri"/>
          <w:i/>
          <w:iCs/>
          <w:color w:val="FF0000"/>
        </w:rPr>
        <w:t>(praktische Reichweite)</w:t>
      </w:r>
      <w:bookmarkStart w:id="0" w:name="_GoBack"/>
      <w:bookmarkEnd w:id="0"/>
    </w:p>
    <w:p w14:paraId="0BC194EF" w14:textId="77777777" w:rsidR="00204864" w:rsidRPr="00B3489C" w:rsidRDefault="00204864" w:rsidP="00B3489C">
      <w:pPr>
        <w:autoSpaceDE w:val="0"/>
        <w:autoSpaceDN w:val="0"/>
        <w:adjustRightInd w:val="0"/>
        <w:spacing w:after="0" w:line="240" w:lineRule="auto"/>
        <w:rPr>
          <w:rFonts w:ascii="Calibri" w:eastAsiaTheme="minorEastAsia" w:hAnsi="Calibri" w:cs="Calibri"/>
          <w:color w:val="000000"/>
        </w:rPr>
      </w:pPr>
    </w:p>
    <w:p w14:paraId="7214F331" w14:textId="59F05AF3" w:rsidR="00B3489C" w:rsidRPr="00B3489C" w:rsidRDefault="00B3489C" w:rsidP="00B3489C">
      <w:pPr>
        <w:numPr>
          <w:ilvl w:val="0"/>
          <w:numId w:val="4"/>
        </w:numPr>
        <w:autoSpaceDE w:val="0"/>
        <w:autoSpaceDN w:val="0"/>
        <w:adjustRightInd w:val="0"/>
        <w:spacing w:after="0" w:line="240" w:lineRule="auto"/>
        <w:rPr>
          <w:rFonts w:ascii="Calibri" w:hAnsi="Calibri" w:cs="Calibri"/>
          <w:color w:val="000000"/>
        </w:rPr>
      </w:pPr>
    </w:p>
    <w:p w14:paraId="6F85D0F5" w14:textId="28C29DA8" w:rsidR="00B3489C" w:rsidRDefault="00B3489C" w:rsidP="00B3489C">
      <w:pPr>
        <w:pStyle w:val="Default"/>
        <w:numPr>
          <w:ilvl w:val="0"/>
          <w:numId w:val="3"/>
        </w:numPr>
        <w:rPr>
          <w:sz w:val="22"/>
          <w:szCs w:val="22"/>
        </w:rPr>
      </w:pPr>
    </w:p>
    <w:p w14:paraId="7508AE2C" w14:textId="77777777" w:rsidR="00B3489C" w:rsidRDefault="00B3489C" w:rsidP="00B3489C">
      <w:pPr>
        <w:pStyle w:val="Default"/>
        <w:rPr>
          <w:sz w:val="22"/>
          <w:szCs w:val="22"/>
        </w:rPr>
      </w:pPr>
    </w:p>
    <w:p w14:paraId="1E926DFE" w14:textId="77777777" w:rsidR="00B3489C" w:rsidRPr="00B3489C" w:rsidRDefault="00B3489C" w:rsidP="00B3489C">
      <w:pPr>
        <w:pStyle w:val="Default"/>
        <w:ind w:left="720"/>
        <w:rPr>
          <w:sz w:val="22"/>
          <w:szCs w:val="22"/>
        </w:rPr>
      </w:pPr>
    </w:p>
    <w:p w14:paraId="3652EFA7" w14:textId="4CEDE7D0" w:rsidR="00B3489C" w:rsidRPr="00B3489C" w:rsidRDefault="00B3489C" w:rsidP="00B3489C">
      <w:pPr>
        <w:pStyle w:val="Listenabsatz"/>
        <w:spacing w:after="0"/>
      </w:pPr>
    </w:p>
    <w:p w14:paraId="53CB62B8" w14:textId="77777777" w:rsidR="00B3489C" w:rsidRDefault="00B3489C" w:rsidP="00B3489C">
      <w:pPr>
        <w:pStyle w:val="Default"/>
        <w:rPr>
          <w:sz w:val="22"/>
          <w:szCs w:val="22"/>
        </w:rPr>
      </w:pPr>
    </w:p>
    <w:p w14:paraId="154F2689" w14:textId="77777777" w:rsidR="00B3489C" w:rsidRPr="00B3489C" w:rsidRDefault="00B3489C" w:rsidP="00B3489C"/>
    <w:sectPr w:rsidR="00B3489C" w:rsidRPr="00B348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241155C"/>
    <w:multiLevelType w:val="hybridMultilevel"/>
    <w:tmpl w:val="52F2DD8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C34D70"/>
    <w:multiLevelType w:val="hybridMultilevel"/>
    <w:tmpl w:val="8EAA868A"/>
    <w:lvl w:ilvl="0" w:tplc="FAF8B7CA">
      <w:start w:val="1"/>
      <w:numFmt w:val="lowerLetter"/>
      <w:lvlText w:val="%1)"/>
      <w:lvlJc w:val="left"/>
      <w:pPr>
        <w:ind w:left="720" w:hanging="360"/>
      </w:pPr>
      <w:rPr>
        <w:rFonts w:hint="default"/>
        <w:b/>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B60DA46"/>
    <w:multiLevelType w:val="hybridMultilevel"/>
    <w:tmpl w:val="214D13B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BE534E2"/>
    <w:multiLevelType w:val="hybridMultilevel"/>
    <w:tmpl w:val="C6506A16"/>
    <w:lvl w:ilvl="0" w:tplc="8250C23A">
      <w:numFmt w:val="bullet"/>
      <w:lvlText w:val="-"/>
      <w:lvlJc w:val="left"/>
      <w:pPr>
        <w:ind w:left="1778" w:hanging="360"/>
      </w:pPr>
      <w:rPr>
        <w:rFonts w:ascii="Calibri" w:eastAsiaTheme="minorHAnsi" w:hAnsi="Calibri" w:cs="Calibri" w:hint="default"/>
      </w:rPr>
    </w:lvl>
    <w:lvl w:ilvl="1" w:tplc="04070003" w:tentative="1">
      <w:start w:val="1"/>
      <w:numFmt w:val="bullet"/>
      <w:lvlText w:val="o"/>
      <w:lvlJc w:val="left"/>
      <w:pPr>
        <w:ind w:left="2498" w:hanging="360"/>
      </w:pPr>
      <w:rPr>
        <w:rFonts w:ascii="Courier New" w:hAnsi="Courier New" w:cs="Courier New" w:hint="default"/>
      </w:rPr>
    </w:lvl>
    <w:lvl w:ilvl="2" w:tplc="04070005" w:tentative="1">
      <w:start w:val="1"/>
      <w:numFmt w:val="bullet"/>
      <w:lvlText w:val=""/>
      <w:lvlJc w:val="left"/>
      <w:pPr>
        <w:ind w:left="3218" w:hanging="360"/>
      </w:pPr>
      <w:rPr>
        <w:rFonts w:ascii="Wingdings" w:hAnsi="Wingdings" w:hint="default"/>
      </w:rPr>
    </w:lvl>
    <w:lvl w:ilvl="3" w:tplc="04070001" w:tentative="1">
      <w:start w:val="1"/>
      <w:numFmt w:val="bullet"/>
      <w:lvlText w:val=""/>
      <w:lvlJc w:val="left"/>
      <w:pPr>
        <w:ind w:left="3938" w:hanging="360"/>
      </w:pPr>
      <w:rPr>
        <w:rFonts w:ascii="Symbol" w:hAnsi="Symbol" w:hint="default"/>
      </w:rPr>
    </w:lvl>
    <w:lvl w:ilvl="4" w:tplc="04070003" w:tentative="1">
      <w:start w:val="1"/>
      <w:numFmt w:val="bullet"/>
      <w:lvlText w:val="o"/>
      <w:lvlJc w:val="left"/>
      <w:pPr>
        <w:ind w:left="4658" w:hanging="360"/>
      </w:pPr>
      <w:rPr>
        <w:rFonts w:ascii="Courier New" w:hAnsi="Courier New" w:cs="Courier New" w:hint="default"/>
      </w:rPr>
    </w:lvl>
    <w:lvl w:ilvl="5" w:tplc="04070005" w:tentative="1">
      <w:start w:val="1"/>
      <w:numFmt w:val="bullet"/>
      <w:lvlText w:val=""/>
      <w:lvlJc w:val="left"/>
      <w:pPr>
        <w:ind w:left="5378" w:hanging="360"/>
      </w:pPr>
      <w:rPr>
        <w:rFonts w:ascii="Wingdings" w:hAnsi="Wingdings" w:hint="default"/>
      </w:rPr>
    </w:lvl>
    <w:lvl w:ilvl="6" w:tplc="04070001" w:tentative="1">
      <w:start w:val="1"/>
      <w:numFmt w:val="bullet"/>
      <w:lvlText w:val=""/>
      <w:lvlJc w:val="left"/>
      <w:pPr>
        <w:ind w:left="6098" w:hanging="360"/>
      </w:pPr>
      <w:rPr>
        <w:rFonts w:ascii="Symbol" w:hAnsi="Symbol" w:hint="default"/>
      </w:rPr>
    </w:lvl>
    <w:lvl w:ilvl="7" w:tplc="04070003" w:tentative="1">
      <w:start w:val="1"/>
      <w:numFmt w:val="bullet"/>
      <w:lvlText w:val="o"/>
      <w:lvlJc w:val="left"/>
      <w:pPr>
        <w:ind w:left="6818" w:hanging="360"/>
      </w:pPr>
      <w:rPr>
        <w:rFonts w:ascii="Courier New" w:hAnsi="Courier New" w:cs="Courier New" w:hint="default"/>
      </w:rPr>
    </w:lvl>
    <w:lvl w:ilvl="8" w:tplc="04070005" w:tentative="1">
      <w:start w:val="1"/>
      <w:numFmt w:val="bullet"/>
      <w:lvlText w:val=""/>
      <w:lvlJc w:val="left"/>
      <w:pPr>
        <w:ind w:left="7538" w:hanging="360"/>
      </w:pPr>
      <w:rPr>
        <w:rFonts w:ascii="Wingdings" w:hAnsi="Wingdings" w:hint="default"/>
      </w:rPr>
    </w:lvl>
  </w:abstractNum>
  <w:abstractNum w:abstractNumId="4" w15:restartNumberingAfterBreak="0">
    <w:nsid w:val="2FBA1F90"/>
    <w:multiLevelType w:val="hybridMultilevel"/>
    <w:tmpl w:val="2648E7C2"/>
    <w:lvl w:ilvl="0" w:tplc="59BACA62">
      <w:start w:val="1"/>
      <w:numFmt w:val="decimal"/>
      <w:lvlText w:val="%1."/>
      <w:lvlJc w:val="left"/>
      <w:pPr>
        <w:ind w:left="720" w:hanging="360"/>
      </w:pPr>
      <w:rPr>
        <w:rFonts w:hint="default"/>
        <w:b/>
        <w:bCs/>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19E2F73"/>
    <w:multiLevelType w:val="hybridMultilevel"/>
    <w:tmpl w:val="9154D3A8"/>
    <w:lvl w:ilvl="0" w:tplc="B5783ED2">
      <w:numFmt w:val="bullet"/>
      <w:lvlText w:val=""/>
      <w:lvlJc w:val="left"/>
      <w:pPr>
        <w:ind w:left="1068" w:hanging="360"/>
      </w:pPr>
      <w:rPr>
        <w:rFonts w:ascii="Wingdings" w:eastAsiaTheme="minorHAnsi" w:hAnsi="Wingdings" w:cs="Calibr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6" w15:restartNumberingAfterBreak="0">
    <w:nsid w:val="364D655F"/>
    <w:multiLevelType w:val="hybridMultilevel"/>
    <w:tmpl w:val="E9C610EC"/>
    <w:lvl w:ilvl="0" w:tplc="A0181FF2">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B942CD9"/>
    <w:multiLevelType w:val="hybridMultilevel"/>
    <w:tmpl w:val="C5E8DC54"/>
    <w:lvl w:ilvl="0" w:tplc="EB825D82">
      <w:start w:val="1"/>
      <w:numFmt w:val="lowerLetter"/>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5B4E0161"/>
    <w:multiLevelType w:val="hybridMultilevel"/>
    <w:tmpl w:val="098A2E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2"/>
  </w:num>
  <w:num w:numId="5">
    <w:abstractNumId w:val="8"/>
  </w:num>
  <w:num w:numId="6">
    <w:abstractNumId w:val="7"/>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89C"/>
    <w:rsid w:val="00007643"/>
    <w:rsid w:val="00012970"/>
    <w:rsid w:val="00013282"/>
    <w:rsid w:val="00031307"/>
    <w:rsid w:val="00033B9A"/>
    <w:rsid w:val="000373E0"/>
    <w:rsid w:val="00040C57"/>
    <w:rsid w:val="0005237B"/>
    <w:rsid w:val="0005716B"/>
    <w:rsid w:val="00075BF2"/>
    <w:rsid w:val="00077175"/>
    <w:rsid w:val="00091087"/>
    <w:rsid w:val="000921D3"/>
    <w:rsid w:val="000A25C0"/>
    <w:rsid w:val="000A7BA2"/>
    <w:rsid w:val="000B34CA"/>
    <w:rsid w:val="000F498B"/>
    <w:rsid w:val="00121C99"/>
    <w:rsid w:val="00124BC4"/>
    <w:rsid w:val="00125FAC"/>
    <w:rsid w:val="00127ADD"/>
    <w:rsid w:val="00133C7A"/>
    <w:rsid w:val="00133D18"/>
    <w:rsid w:val="001455C2"/>
    <w:rsid w:val="0016638D"/>
    <w:rsid w:val="0017012B"/>
    <w:rsid w:val="00182782"/>
    <w:rsid w:val="00186471"/>
    <w:rsid w:val="00192F32"/>
    <w:rsid w:val="001A593F"/>
    <w:rsid w:val="001A7293"/>
    <w:rsid w:val="001C4781"/>
    <w:rsid w:val="001D4281"/>
    <w:rsid w:val="001E09C2"/>
    <w:rsid w:val="001E0BAC"/>
    <w:rsid w:val="001E1B96"/>
    <w:rsid w:val="001E4F79"/>
    <w:rsid w:val="001E7830"/>
    <w:rsid w:val="00204864"/>
    <w:rsid w:val="00220DF9"/>
    <w:rsid w:val="0022315E"/>
    <w:rsid w:val="00227F6F"/>
    <w:rsid w:val="0023366C"/>
    <w:rsid w:val="00234263"/>
    <w:rsid w:val="002379E1"/>
    <w:rsid w:val="00246011"/>
    <w:rsid w:val="00246272"/>
    <w:rsid w:val="00246DA7"/>
    <w:rsid w:val="00252E72"/>
    <w:rsid w:val="00267A27"/>
    <w:rsid w:val="00271AAF"/>
    <w:rsid w:val="00274DB4"/>
    <w:rsid w:val="00277B1A"/>
    <w:rsid w:val="00297122"/>
    <w:rsid w:val="002A04F3"/>
    <w:rsid w:val="002B4524"/>
    <w:rsid w:val="002C1491"/>
    <w:rsid w:val="002C4BC9"/>
    <w:rsid w:val="002C69B6"/>
    <w:rsid w:val="002E16A1"/>
    <w:rsid w:val="002E6C62"/>
    <w:rsid w:val="002E7807"/>
    <w:rsid w:val="002F0B02"/>
    <w:rsid w:val="003007C3"/>
    <w:rsid w:val="003144C9"/>
    <w:rsid w:val="0032096D"/>
    <w:rsid w:val="003375BD"/>
    <w:rsid w:val="0036181B"/>
    <w:rsid w:val="00367D90"/>
    <w:rsid w:val="00387170"/>
    <w:rsid w:val="00397B4E"/>
    <w:rsid w:val="003A10BA"/>
    <w:rsid w:val="003C010C"/>
    <w:rsid w:val="003D73F2"/>
    <w:rsid w:val="003E40DE"/>
    <w:rsid w:val="003F33CA"/>
    <w:rsid w:val="003F7599"/>
    <w:rsid w:val="00405BBE"/>
    <w:rsid w:val="00407FC7"/>
    <w:rsid w:val="00414CBE"/>
    <w:rsid w:val="00416622"/>
    <w:rsid w:val="004342D9"/>
    <w:rsid w:val="00454E77"/>
    <w:rsid w:val="0047117A"/>
    <w:rsid w:val="00475A97"/>
    <w:rsid w:val="004829F6"/>
    <w:rsid w:val="00484C98"/>
    <w:rsid w:val="00490338"/>
    <w:rsid w:val="00493C7E"/>
    <w:rsid w:val="004C2B69"/>
    <w:rsid w:val="004D7887"/>
    <w:rsid w:val="004E1252"/>
    <w:rsid w:val="004E2154"/>
    <w:rsid w:val="004E2DE1"/>
    <w:rsid w:val="004F24B6"/>
    <w:rsid w:val="00524C69"/>
    <w:rsid w:val="00561FC7"/>
    <w:rsid w:val="00567D24"/>
    <w:rsid w:val="00570790"/>
    <w:rsid w:val="005753F4"/>
    <w:rsid w:val="005804F5"/>
    <w:rsid w:val="00581399"/>
    <w:rsid w:val="00583A08"/>
    <w:rsid w:val="0059081E"/>
    <w:rsid w:val="005A162B"/>
    <w:rsid w:val="005B3ADB"/>
    <w:rsid w:val="005B6E25"/>
    <w:rsid w:val="005C15FC"/>
    <w:rsid w:val="005C3FE6"/>
    <w:rsid w:val="005F2A05"/>
    <w:rsid w:val="00601416"/>
    <w:rsid w:val="00607833"/>
    <w:rsid w:val="00613B58"/>
    <w:rsid w:val="00624B0C"/>
    <w:rsid w:val="0064585B"/>
    <w:rsid w:val="00662D7E"/>
    <w:rsid w:val="0068340A"/>
    <w:rsid w:val="006A0BB9"/>
    <w:rsid w:val="006A634D"/>
    <w:rsid w:val="006B2B53"/>
    <w:rsid w:val="006B334F"/>
    <w:rsid w:val="006B5BD4"/>
    <w:rsid w:val="006D50CD"/>
    <w:rsid w:val="006F5824"/>
    <w:rsid w:val="00702C7C"/>
    <w:rsid w:val="00703740"/>
    <w:rsid w:val="0070726F"/>
    <w:rsid w:val="0071018D"/>
    <w:rsid w:val="00715229"/>
    <w:rsid w:val="00745CCE"/>
    <w:rsid w:val="007575F1"/>
    <w:rsid w:val="007605E9"/>
    <w:rsid w:val="007958E4"/>
    <w:rsid w:val="007A51D8"/>
    <w:rsid w:val="007B0480"/>
    <w:rsid w:val="007B2345"/>
    <w:rsid w:val="007B6433"/>
    <w:rsid w:val="007C1D70"/>
    <w:rsid w:val="007C5EF2"/>
    <w:rsid w:val="007E6E93"/>
    <w:rsid w:val="00801874"/>
    <w:rsid w:val="00804AAA"/>
    <w:rsid w:val="00805E22"/>
    <w:rsid w:val="00812775"/>
    <w:rsid w:val="00816C44"/>
    <w:rsid w:val="008301CB"/>
    <w:rsid w:val="008454DF"/>
    <w:rsid w:val="00862D38"/>
    <w:rsid w:val="00863EF4"/>
    <w:rsid w:val="0088229D"/>
    <w:rsid w:val="0088547A"/>
    <w:rsid w:val="008875E4"/>
    <w:rsid w:val="008977DC"/>
    <w:rsid w:val="008E4D50"/>
    <w:rsid w:val="0090331F"/>
    <w:rsid w:val="00910A66"/>
    <w:rsid w:val="00911DA2"/>
    <w:rsid w:val="00913D19"/>
    <w:rsid w:val="009208F4"/>
    <w:rsid w:val="00933B54"/>
    <w:rsid w:val="00936800"/>
    <w:rsid w:val="00937123"/>
    <w:rsid w:val="00940941"/>
    <w:rsid w:val="00960B66"/>
    <w:rsid w:val="00973560"/>
    <w:rsid w:val="00977217"/>
    <w:rsid w:val="00983D7A"/>
    <w:rsid w:val="0099095C"/>
    <w:rsid w:val="009D12C6"/>
    <w:rsid w:val="009E54F3"/>
    <w:rsid w:val="009F011A"/>
    <w:rsid w:val="009F5997"/>
    <w:rsid w:val="00A0595F"/>
    <w:rsid w:val="00A167D7"/>
    <w:rsid w:val="00A17F77"/>
    <w:rsid w:val="00A22792"/>
    <w:rsid w:val="00A30657"/>
    <w:rsid w:val="00A458A1"/>
    <w:rsid w:val="00A478C4"/>
    <w:rsid w:val="00A67122"/>
    <w:rsid w:val="00A7405C"/>
    <w:rsid w:val="00A74618"/>
    <w:rsid w:val="00A813A7"/>
    <w:rsid w:val="00A863FC"/>
    <w:rsid w:val="00A87058"/>
    <w:rsid w:val="00A95006"/>
    <w:rsid w:val="00AA3333"/>
    <w:rsid w:val="00AB18AF"/>
    <w:rsid w:val="00AB1E05"/>
    <w:rsid w:val="00AC3D30"/>
    <w:rsid w:val="00AC7878"/>
    <w:rsid w:val="00AE47FB"/>
    <w:rsid w:val="00B001B1"/>
    <w:rsid w:val="00B0314D"/>
    <w:rsid w:val="00B117C2"/>
    <w:rsid w:val="00B155BA"/>
    <w:rsid w:val="00B20059"/>
    <w:rsid w:val="00B241EA"/>
    <w:rsid w:val="00B242CB"/>
    <w:rsid w:val="00B3489C"/>
    <w:rsid w:val="00B41329"/>
    <w:rsid w:val="00B5536D"/>
    <w:rsid w:val="00B56FA4"/>
    <w:rsid w:val="00B642A4"/>
    <w:rsid w:val="00B742E3"/>
    <w:rsid w:val="00B74D54"/>
    <w:rsid w:val="00B84043"/>
    <w:rsid w:val="00B91729"/>
    <w:rsid w:val="00B91B3B"/>
    <w:rsid w:val="00B976DF"/>
    <w:rsid w:val="00BB223F"/>
    <w:rsid w:val="00BC09B6"/>
    <w:rsid w:val="00BC1223"/>
    <w:rsid w:val="00BE0676"/>
    <w:rsid w:val="00BE1BEB"/>
    <w:rsid w:val="00BF58E7"/>
    <w:rsid w:val="00C04DAB"/>
    <w:rsid w:val="00C13EF2"/>
    <w:rsid w:val="00C2766F"/>
    <w:rsid w:val="00C35E80"/>
    <w:rsid w:val="00C432D9"/>
    <w:rsid w:val="00C43CBE"/>
    <w:rsid w:val="00C4761A"/>
    <w:rsid w:val="00C512ED"/>
    <w:rsid w:val="00C53EB9"/>
    <w:rsid w:val="00C54394"/>
    <w:rsid w:val="00C6146D"/>
    <w:rsid w:val="00C71E1A"/>
    <w:rsid w:val="00C764CE"/>
    <w:rsid w:val="00C8658F"/>
    <w:rsid w:val="00C8674D"/>
    <w:rsid w:val="00C955C3"/>
    <w:rsid w:val="00C96C03"/>
    <w:rsid w:val="00CA4256"/>
    <w:rsid w:val="00CB0270"/>
    <w:rsid w:val="00CE0620"/>
    <w:rsid w:val="00CE5331"/>
    <w:rsid w:val="00D00800"/>
    <w:rsid w:val="00D05D2F"/>
    <w:rsid w:val="00D13703"/>
    <w:rsid w:val="00D16276"/>
    <w:rsid w:val="00D16B5F"/>
    <w:rsid w:val="00D17B64"/>
    <w:rsid w:val="00D20D1E"/>
    <w:rsid w:val="00D2628F"/>
    <w:rsid w:val="00D3344D"/>
    <w:rsid w:val="00D41836"/>
    <w:rsid w:val="00D500BD"/>
    <w:rsid w:val="00D5086C"/>
    <w:rsid w:val="00D541E6"/>
    <w:rsid w:val="00D55597"/>
    <w:rsid w:val="00D671E8"/>
    <w:rsid w:val="00D732D1"/>
    <w:rsid w:val="00D73977"/>
    <w:rsid w:val="00D97A04"/>
    <w:rsid w:val="00DA33B3"/>
    <w:rsid w:val="00DB0CA2"/>
    <w:rsid w:val="00DB4532"/>
    <w:rsid w:val="00DC7D5A"/>
    <w:rsid w:val="00DD1B5B"/>
    <w:rsid w:val="00DE3726"/>
    <w:rsid w:val="00DE6D20"/>
    <w:rsid w:val="00DE717E"/>
    <w:rsid w:val="00DE7DE6"/>
    <w:rsid w:val="00DF79B0"/>
    <w:rsid w:val="00E01D45"/>
    <w:rsid w:val="00E03662"/>
    <w:rsid w:val="00E15F18"/>
    <w:rsid w:val="00E20D70"/>
    <w:rsid w:val="00E23B3A"/>
    <w:rsid w:val="00E3724B"/>
    <w:rsid w:val="00E52CAD"/>
    <w:rsid w:val="00E56632"/>
    <w:rsid w:val="00E6093A"/>
    <w:rsid w:val="00E744E7"/>
    <w:rsid w:val="00E811B4"/>
    <w:rsid w:val="00E97DC5"/>
    <w:rsid w:val="00EA561B"/>
    <w:rsid w:val="00EB2478"/>
    <w:rsid w:val="00EB36B3"/>
    <w:rsid w:val="00EB3FDA"/>
    <w:rsid w:val="00EC622E"/>
    <w:rsid w:val="00ED5BBD"/>
    <w:rsid w:val="00F02057"/>
    <w:rsid w:val="00F2186F"/>
    <w:rsid w:val="00F2344D"/>
    <w:rsid w:val="00F251C2"/>
    <w:rsid w:val="00F3216E"/>
    <w:rsid w:val="00F608DF"/>
    <w:rsid w:val="00F83B42"/>
    <w:rsid w:val="00F87577"/>
    <w:rsid w:val="00F97E90"/>
    <w:rsid w:val="00FA096C"/>
    <w:rsid w:val="00FA5DFC"/>
    <w:rsid w:val="00FC7B6D"/>
    <w:rsid w:val="00FC7B8A"/>
    <w:rsid w:val="00FD542E"/>
    <w:rsid w:val="00FE4B1D"/>
    <w:rsid w:val="00FF724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FC7A0"/>
  <w15:chartTrackingRefBased/>
  <w15:docId w15:val="{15C74F0A-E03E-47BB-8102-74BD122E5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B3489C"/>
    <w:pPr>
      <w:autoSpaceDE w:val="0"/>
      <w:autoSpaceDN w:val="0"/>
      <w:adjustRightInd w:val="0"/>
      <w:spacing w:after="0" w:line="240" w:lineRule="auto"/>
    </w:pPr>
    <w:rPr>
      <w:rFonts w:ascii="Calibri" w:hAnsi="Calibri" w:cs="Calibri"/>
      <w:color w:val="000000"/>
      <w:sz w:val="24"/>
      <w:szCs w:val="24"/>
    </w:rPr>
  </w:style>
  <w:style w:type="paragraph" w:styleId="Listenabsatz">
    <w:name w:val="List Paragraph"/>
    <w:basedOn w:val="Standard"/>
    <w:uiPriority w:val="34"/>
    <w:qFormat/>
    <w:rsid w:val="00B3489C"/>
    <w:pPr>
      <w:ind w:left="720"/>
      <w:contextualSpacing/>
    </w:pPr>
  </w:style>
  <w:style w:type="character" w:styleId="Platzhaltertext">
    <w:name w:val="Placeholder Text"/>
    <w:basedOn w:val="Absatz-Standardschriftart"/>
    <w:uiPriority w:val="99"/>
    <w:semiHidden/>
    <w:rsid w:val="00B3489C"/>
    <w:rPr>
      <w:color w:val="808080"/>
    </w:rPr>
  </w:style>
  <w:style w:type="paragraph" w:styleId="Titel">
    <w:name w:val="Title"/>
    <w:basedOn w:val="Standard"/>
    <w:next w:val="Standard"/>
    <w:link w:val="TitelZchn"/>
    <w:uiPriority w:val="10"/>
    <w:qFormat/>
    <w:rsid w:val="00A746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7461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ink/ink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customXml" Target="ink/ink2.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29T17:38:18.586"/>
    </inkml:context>
    <inkml:brush xml:id="br0">
      <inkml:brushProperty name="width" value="0.025" units="cm"/>
      <inkml:brushProperty name="height" value="0.025" units="cm"/>
      <inkml:brushProperty name="ignorePressure" value="1"/>
    </inkml:brush>
  </inkml:definitions>
  <inkml:trace contextRef="#ctx0" brushRef="#br0">0 0,'0'0,"0"0,0 0,0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29T17:39:46.899"/>
    </inkml:context>
    <inkml:brush xml:id="br0">
      <inkml:brushProperty name="width" value="0.025" units="cm"/>
      <inkml:brushProperty name="height" value="0.025" units="cm"/>
      <inkml:brushProperty name="ignorePressure" value="1"/>
    </inkml:brush>
  </inkml:definitions>
  <inkml:trace contextRef="#ctx0" brushRef="#br0">1 1,'0'0,"0"0,0 44,0-31,0 1,0 0,0-1,1 1,0 0,0-1,1 0,0 0,0 0,1 0,0-1,0 1,0-1,2 1,5 20,-1 1,0 0,-1 1,6 22,-7-29,2-1,0 0,0-1,8 15,-17-41,21 44,0-1,1-2,1-2,16 20,-20-34,0-3,0-1,1-1,1-2,17 17,-5-6,0-3,1-2,1-4,0-2,26 6,-32-11,0 2,9 9,-4-2,13 3,19-2,54 5,-81-20,123 20,-124-21,22 0,-27-4,29 9,-29-4,30-1,-61-7</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1-29T17:42:10.695"/>
    </inkml:context>
    <inkml:brush xml:id="br0">
      <inkml:brushProperty name="width" value="0.025" units="cm"/>
      <inkml:brushProperty name="height" value="0.025" units="cm"/>
      <inkml:brushProperty name="ignorePressure" value="1"/>
    </inkml:brush>
  </inkml:definitions>
  <inkml:trace contextRef="#ctx0" brushRef="#br0">9 7,'-9'179,"13"-107,-4-71</inkml:trace>
  <inkml:trace contextRef="#ctx0" brushRef="#br0" timeOffset="739.18">26 0,'41'15,"-17"-13,0 0,0-2,0 0,5-1,-27 1</inkml:trace>
  <inkml:trace contextRef="#ctx0" brushRef="#br0" timeOffset="1612.73">26 159,'9'-4,"1"2,-1-1,1 2,-1-1,1 1,0 1,-1-1,1 2,8 0,9 0,-24-1</inkml:trace>
  <inkml:trace contextRef="#ctx0" brushRef="#br0" timeOffset="2399.82">37 263,'11'4,"0"-1,-1 0,1-1,0 0,1 0,-1-1,0-1,0 0,6-1,-15 1</inkml:trace>
</inkml:ink>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158EEA73D9A6B043BDE2B3E94F4148C9" ma:contentTypeVersion="11" ma:contentTypeDescription="Ein neues Dokument erstellen." ma:contentTypeScope="" ma:versionID="bbe070ad3e41db28f5481d671381347a">
  <xsd:schema xmlns:xsd="http://www.w3.org/2001/XMLSchema" xmlns:xs="http://www.w3.org/2001/XMLSchema" xmlns:p="http://schemas.microsoft.com/office/2006/metadata/properties" xmlns:ns3="467ddf8e-b710-4907-b4ed-61edaabea662" xmlns:ns4="acbf8c6c-6ff2-4d0b-99cf-ce8802c5f6ff" targetNamespace="http://schemas.microsoft.com/office/2006/metadata/properties" ma:root="true" ma:fieldsID="aaa0a8a3bae070111cbd9a3737a70dec" ns3:_="" ns4:_="">
    <xsd:import namespace="467ddf8e-b710-4907-b4ed-61edaabea662"/>
    <xsd:import namespace="acbf8c6c-6ff2-4d0b-99cf-ce8802c5f6f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7ddf8e-b710-4907-b4ed-61edaabea6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bf8c6c-6ff2-4d0b-99cf-ce8802c5f6ff"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SharingHintHash" ma:index="12"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11473F-D215-4DF8-99FC-F2E8CCBEC786}">
  <ds:schemaRefs>
    <ds:schemaRef ds:uri="http://schemas.microsoft.com/sharepoint/v3/contenttype/forms"/>
  </ds:schemaRefs>
</ds:datastoreItem>
</file>

<file path=customXml/itemProps2.xml><?xml version="1.0" encoding="utf-8"?>
<ds:datastoreItem xmlns:ds="http://schemas.openxmlformats.org/officeDocument/2006/customXml" ds:itemID="{BD15601A-C274-42FE-8138-7D1946742F7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971CD9B-2CAB-4181-A13E-3ED9BE956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7ddf8e-b710-4907-b4ed-61edaabea662"/>
    <ds:schemaRef ds:uri="acbf8c6c-6ff2-4d0b-99cf-ce8802c5f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2203</Words>
  <Characters>13881</Characters>
  <Application>Microsoft Office Word</Application>
  <DocSecurity>0</DocSecurity>
  <Lines>115</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Moritz_ Schneider</dc:creator>
  <cp:keywords/>
  <dc:description/>
  <cp:lastModifiedBy>Moritz_ Schneider</cp:lastModifiedBy>
  <cp:revision>125</cp:revision>
  <dcterms:created xsi:type="dcterms:W3CDTF">2020-01-29T11:41:00Z</dcterms:created>
  <dcterms:modified xsi:type="dcterms:W3CDTF">2020-01-30T13:08:00Z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0x010100158EEA73D9A6B043BDE2B3E94F4148C9</vt:lpwstr>
  </property>
</Properties>
</file>