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AE5" w:rsidRPr="00D92644" w:rsidRDefault="00826B71" w:rsidP="00D92644">
      <w:pPr>
        <w:pStyle w:val="KeinLeerraum"/>
        <w:jc w:val="center"/>
        <w:rPr>
          <w:b/>
        </w:rPr>
      </w:pPr>
      <w:r w:rsidRPr="00D92644">
        <w:rPr>
          <w:b/>
        </w:rPr>
        <w:t>Altklausur Nanotechnologie 1</w:t>
      </w:r>
    </w:p>
    <w:p w:rsidR="00826B71" w:rsidRDefault="00826B71" w:rsidP="00826B71">
      <w:pPr>
        <w:pStyle w:val="KeinLeerraum"/>
      </w:pPr>
    </w:p>
    <w:p w:rsidR="00826B71" w:rsidRDefault="00826B71" w:rsidP="00826B71">
      <w:pPr>
        <w:pStyle w:val="KeinLeerraum"/>
      </w:pPr>
      <w:r>
        <w:t>Aufgabe 1:</w:t>
      </w:r>
    </w:p>
    <w:p w:rsidR="00887347" w:rsidRDefault="00887347" w:rsidP="00887347">
      <w:pPr>
        <w:pStyle w:val="KeinLeerraum"/>
        <w:numPr>
          <w:ilvl w:val="0"/>
          <w:numId w:val="4"/>
        </w:numPr>
      </w:pPr>
      <w:r>
        <w:t xml:space="preserve">Erläutern Sie eine in Deutschland in der Forschung und Entwicklung etablierte Definition der Nanotechnologie. Was ist mit dem Begriff der „Nanointegration“ gemeint? </w:t>
      </w:r>
      <w:r w:rsidR="007A64A0">
        <w:t>[</w:t>
      </w:r>
      <w:r>
        <w:t>2 P</w:t>
      </w:r>
      <w:r w:rsidR="007A64A0">
        <w:t>]</w:t>
      </w:r>
    </w:p>
    <w:p w:rsidR="00887347" w:rsidRDefault="00887347" w:rsidP="00887347">
      <w:pPr>
        <w:pStyle w:val="KeinLeerraum"/>
        <w:ind w:left="360"/>
      </w:pPr>
    </w:p>
    <w:p w:rsidR="00887347" w:rsidRDefault="00887347" w:rsidP="00343408">
      <w:pPr>
        <w:pStyle w:val="KeinLeerraum"/>
        <w:ind w:left="360"/>
        <w:jc w:val="both"/>
      </w:pPr>
      <w:r>
        <w:t>Unter Nanotechnologie versteht man eine interdisziplinäre Wissenschaft aus Physik, Chemie und Biologie, die Effekte und Phänomene ausnutzt, welche aufgrund des kausalen Zusammenhangs zwischen Strukturgrößen von 1-100nm und den Eigenschaften eines Materials entstehen oder ermöglicht werden.</w:t>
      </w:r>
    </w:p>
    <w:p w:rsidR="00887347" w:rsidRDefault="00343408" w:rsidP="00343408">
      <w:pPr>
        <w:pStyle w:val="KeinLeerraum"/>
        <w:ind w:left="360"/>
        <w:jc w:val="both"/>
      </w:pPr>
      <w:r>
        <w:t>Unter Nanointegration versteht man verschiedenartige Funktionsträger, die in ihrer Größe als „</w:t>
      </w:r>
      <w:proofErr w:type="spellStart"/>
      <w:r>
        <w:t>nano</w:t>
      </w:r>
      <w:proofErr w:type="spellEnd"/>
      <w:r>
        <w:t>“, also 1-100nm groß, definiert sind und daher spezielle Funktionen oder Eigenschaften haben. Diese werden versucht zu kontrollieren und anschließend in die Makrowelt integriert.</w:t>
      </w:r>
    </w:p>
    <w:p w:rsidR="00887347" w:rsidRDefault="00887347" w:rsidP="00887347">
      <w:pPr>
        <w:pStyle w:val="KeinLeerraum"/>
        <w:ind w:left="360"/>
      </w:pPr>
    </w:p>
    <w:p w:rsidR="00343408" w:rsidRDefault="00887347" w:rsidP="00343408">
      <w:pPr>
        <w:pStyle w:val="KeinLeerraum"/>
        <w:numPr>
          <w:ilvl w:val="0"/>
          <w:numId w:val="4"/>
        </w:numPr>
      </w:pPr>
      <w:r>
        <w:t xml:space="preserve">Erläutern Sie die Begriffe „Top-Down-Strukturierung“ und „Bottom-Up-Strukturierung“ von Materie. </w:t>
      </w:r>
      <w:r w:rsidR="007A64A0">
        <w:t>[</w:t>
      </w:r>
      <w:r>
        <w:t>2 P</w:t>
      </w:r>
      <w:r w:rsidR="007A64A0">
        <w:t>]</w:t>
      </w:r>
    </w:p>
    <w:p w:rsidR="00343408" w:rsidRDefault="00343408" w:rsidP="00343408">
      <w:pPr>
        <w:pStyle w:val="KeinLeerraum"/>
        <w:ind w:left="360"/>
        <w:jc w:val="both"/>
      </w:pPr>
    </w:p>
    <w:p w:rsidR="000E0288" w:rsidRDefault="000E0288" w:rsidP="00343408">
      <w:pPr>
        <w:pStyle w:val="KeinLeerraum"/>
        <w:ind w:left="360"/>
        <w:jc w:val="both"/>
      </w:pPr>
      <w:r>
        <w:t>Beide Begriffe beschreiben Verfahren zur Erzeugung von Nanostrukturen. Es sind zwei entgegengesetzte Prozesswirkrichtungen.</w:t>
      </w:r>
    </w:p>
    <w:p w:rsidR="00343408" w:rsidRDefault="00343408" w:rsidP="00343408">
      <w:pPr>
        <w:pStyle w:val="KeinLeerraum"/>
        <w:ind w:left="360"/>
        <w:jc w:val="both"/>
      </w:pPr>
      <w:r>
        <w:t>Bei der „Top-Down-Strukturierung“ werden große Objekte modifiziert und verkleinert. Die funktionellen Strukturgrößen wirken auf Nano-Ebene. Bsp.: Mikrochips, Lithografie</w:t>
      </w:r>
    </w:p>
    <w:p w:rsidR="00343408" w:rsidRDefault="00343408" w:rsidP="00343408">
      <w:pPr>
        <w:pStyle w:val="KeinLeerraum"/>
        <w:ind w:left="360"/>
        <w:jc w:val="both"/>
      </w:pPr>
      <w:r>
        <w:t>Bei der „Bottom-Up-Strukturierung“ wird aus vielen kleinen Teilstücken ein deutlich größeres Objekt zusammengesetzt. Physikalisch-chemische Prinzipien der molekularen/atomaren Selbstassemblierung und Selbstorganisation werden ausgenutzt. Bsp.: Aerosolverfahren, Sol-Gel-Verfahren</w:t>
      </w:r>
    </w:p>
    <w:p w:rsidR="00343408" w:rsidRDefault="00343408" w:rsidP="00343408">
      <w:pPr>
        <w:pStyle w:val="KeinLeerraum"/>
        <w:ind w:left="360"/>
      </w:pPr>
    </w:p>
    <w:p w:rsidR="00826B71" w:rsidRDefault="00826B71" w:rsidP="007A64A0">
      <w:pPr>
        <w:pStyle w:val="KeinLeerraum"/>
        <w:numPr>
          <w:ilvl w:val="0"/>
          <w:numId w:val="4"/>
        </w:numPr>
      </w:pPr>
      <w:r>
        <w:t xml:space="preserve">Erklären Sie den Begriff „molekulare Erkennung“ am Beispiel molekularer WW zwischen Vitamin H (Biotin) und dem Protein </w:t>
      </w:r>
      <w:proofErr w:type="spellStart"/>
      <w:r>
        <w:t>Streptavidin</w:t>
      </w:r>
      <w:proofErr w:type="spellEnd"/>
      <w:r>
        <w:t xml:space="preserve"> und nennen Sie die dabei wirkenden Kräfte. [3 P]</w:t>
      </w:r>
    </w:p>
    <w:p w:rsidR="00D92644" w:rsidRDefault="00D92644" w:rsidP="00D92644">
      <w:pPr>
        <w:pStyle w:val="KeinLeerraum"/>
        <w:ind w:left="360"/>
      </w:pPr>
    </w:p>
    <w:p w:rsidR="00D92644" w:rsidRDefault="00D92644" w:rsidP="00D92644">
      <w:pPr>
        <w:pStyle w:val="KeinLeerraum"/>
        <w:ind w:left="360"/>
        <w:jc w:val="both"/>
      </w:pPr>
      <w:r w:rsidRPr="00D92644">
        <w:t>Der Begriff Molekülerkennung oder molekulare Erkennung bezeichnet eine nicht kovalente Interaktion zwischen zwei oder mehr Molekülen, die spezifisch für genau diese Kombination von Molekülen ist. Oftmals gibt es bei dieser Interaktion ein größeres Wirtsmolekül</w:t>
      </w:r>
      <w:r>
        <w:t xml:space="preserve"> (</w:t>
      </w:r>
      <w:proofErr w:type="spellStart"/>
      <w:r>
        <w:t>Streptavidin</w:t>
      </w:r>
      <w:proofErr w:type="spellEnd"/>
      <w:r>
        <w:t>)</w:t>
      </w:r>
      <w:r w:rsidRPr="00D92644">
        <w:t>, welches mit einem Gastmolekül</w:t>
      </w:r>
      <w:r>
        <w:t xml:space="preserve"> (Biotin)</w:t>
      </w:r>
      <w:r w:rsidRPr="00D92644">
        <w:t xml:space="preserve"> interagiert. Die molekulare Erkennung erfolgt nach d</w:t>
      </w:r>
      <w:r>
        <w:t xml:space="preserve">em Schlüssel-Schloss-Prinzip. </w:t>
      </w:r>
      <w:r w:rsidRPr="00D92644">
        <w:t>Das Schlüssel-Schloss-Prinzip beschreibt die Funktion von zwei oder mehreren komplementären Strukturen, die räumlich zueinander passen müssen, um eine bestimmte biochemische Funktion erfüllen zu können.</w:t>
      </w:r>
      <w:r>
        <w:t xml:space="preserve"> </w:t>
      </w:r>
      <w:r w:rsidRPr="00D92644">
        <w:t xml:space="preserve">Eine schwache, nicht-kovalente Wechselwirkung führt zu einem relativ stabilen Übergangszustand (Komplex) von Ligand (Gast) und Rezeptor (Wirt), dessen relative Bindungsstärke man als Affinität bezeichnet. Eine etwas </w:t>
      </w:r>
      <w:proofErr w:type="spellStart"/>
      <w:r w:rsidRPr="00D92644">
        <w:t>zeitgemäßere</w:t>
      </w:r>
      <w:proofErr w:type="spellEnd"/>
      <w:r w:rsidRPr="00D92644">
        <w:t xml:space="preserve"> Ausdrucksweise spricht vom </w:t>
      </w:r>
      <w:proofErr w:type="spellStart"/>
      <w:r w:rsidRPr="00D92644">
        <w:t>Induced</w:t>
      </w:r>
      <w:proofErr w:type="spellEnd"/>
      <w:r w:rsidRPr="00D92644">
        <w:t xml:space="preserve">-fit-Konzept (Hand-im-Handschuh-Prinzip), um der </w:t>
      </w:r>
      <w:proofErr w:type="spellStart"/>
      <w:r w:rsidRPr="00D92644">
        <w:t>konformativen</w:t>
      </w:r>
      <w:proofErr w:type="spellEnd"/>
      <w:r w:rsidRPr="00D92644">
        <w:t xml:space="preserve"> Flexibilität chemischer Verbindungen Rechnung zu tragen.</w:t>
      </w:r>
    </w:p>
    <w:p w:rsidR="00D92644" w:rsidRDefault="00D92644" w:rsidP="00D92644">
      <w:pPr>
        <w:pStyle w:val="KeinLeerraum"/>
        <w:ind w:left="360"/>
        <w:jc w:val="both"/>
      </w:pPr>
      <w:proofErr w:type="spellStart"/>
      <w:r w:rsidRPr="00D92644">
        <w:t>Streptavidin</w:t>
      </w:r>
      <w:proofErr w:type="spellEnd"/>
      <w:r w:rsidRPr="00D92644">
        <w:t xml:space="preserve"> ist ein Protein, das von Bakterien der Spezies Streptomyces </w:t>
      </w:r>
      <w:proofErr w:type="spellStart"/>
      <w:r w:rsidRPr="00D92644">
        <w:t>avidinii</w:t>
      </w:r>
      <w:proofErr w:type="spellEnd"/>
      <w:r w:rsidRPr="00D92644">
        <w:t xml:space="preserve"> produziert wird. Das aus vier identischen Protein-Untereinheiten aufgebaute Eiweiß besitzt eine Molekülmasse von etwa 66.000 Dalton; jede der vier Untereinheiten kann mit sehr hoher Affinität (Ka ~ 10</w:t>
      </w:r>
      <w:r w:rsidRPr="00D92644">
        <w:rPr>
          <w:vertAlign w:val="superscript"/>
        </w:rPr>
        <w:t>14</w:t>
      </w:r>
      <w:r w:rsidRPr="00D92644">
        <w:t>–10</w:t>
      </w:r>
      <w:r w:rsidRPr="00D92644">
        <w:rPr>
          <w:vertAlign w:val="superscript"/>
        </w:rPr>
        <w:t>15</w:t>
      </w:r>
      <w:r w:rsidRPr="00D92644">
        <w:t xml:space="preserve"> M</w:t>
      </w:r>
      <w:r w:rsidRPr="00D92644">
        <w:rPr>
          <w:vertAlign w:val="superscript"/>
        </w:rPr>
        <w:t>−1</w:t>
      </w:r>
      <w:r w:rsidRPr="00D92644">
        <w:t xml:space="preserve">) jeweils ein Molekül des Vitamins Biotin binden. Die </w:t>
      </w:r>
      <w:proofErr w:type="spellStart"/>
      <w:r w:rsidRPr="00D92644">
        <w:t>Streptavidin</w:t>
      </w:r>
      <w:proofErr w:type="spellEnd"/>
      <w:r w:rsidRPr="00D92644">
        <w:t xml:space="preserve">-Biotin-Bindung ist eine der stärksten bekannten </w:t>
      </w:r>
      <w:r w:rsidRPr="00D92644">
        <w:lastRenderedPageBreak/>
        <w:t>nichtkovalenten biologischen Bindungen.</w:t>
      </w:r>
      <w:r>
        <w:t xml:space="preserve"> </w:t>
      </w:r>
      <w:r w:rsidRPr="00D92644">
        <w:t>Es gibt eine Vielzahl von Wechselwirkungen, die bei der Molekülerkennung eine Rolle spielen. Dies sind unter anderem Wasserstoffbrückenbindungen, Van-de</w:t>
      </w:r>
      <w:r>
        <w:t>r</w:t>
      </w:r>
      <w:r w:rsidRPr="00D92644">
        <w:t>-Waals-</w:t>
      </w:r>
      <w:proofErr w:type="spellStart"/>
      <w:r w:rsidRPr="00D92644">
        <w:t>Wechselwir</w:t>
      </w:r>
      <w:proofErr w:type="spellEnd"/>
      <w:r>
        <w:t>-</w:t>
      </w:r>
      <w:proofErr w:type="spellStart"/>
      <w:r w:rsidRPr="00D92644">
        <w:t>kun</w:t>
      </w:r>
      <w:r>
        <w:t>gen</w:t>
      </w:r>
      <w:proofErr w:type="spellEnd"/>
      <w:r>
        <w:t xml:space="preserve">, Pi-Komplexe </w:t>
      </w:r>
      <w:r w:rsidRPr="00D92644">
        <w:t>oder Elektrostatische Wechselwirkungen.</w:t>
      </w:r>
    </w:p>
    <w:p w:rsidR="00826B71" w:rsidRDefault="00826B71" w:rsidP="00D92644">
      <w:pPr>
        <w:pStyle w:val="KeinLeerraum"/>
        <w:jc w:val="both"/>
      </w:pPr>
    </w:p>
    <w:p w:rsidR="00826B71" w:rsidRDefault="00826B71" w:rsidP="00826B71">
      <w:pPr>
        <w:pStyle w:val="KeinLeerraum"/>
      </w:pPr>
      <w:r>
        <w:t>Aufgabe 2: Werkzeuge der Nanotechnologie</w:t>
      </w:r>
    </w:p>
    <w:p w:rsidR="00826B71" w:rsidRDefault="00826B71" w:rsidP="00826B71">
      <w:pPr>
        <w:pStyle w:val="KeinLeerraum"/>
        <w:numPr>
          <w:ilvl w:val="0"/>
          <w:numId w:val="1"/>
        </w:numPr>
      </w:pPr>
      <w:r>
        <w:t>Erläutern Sie die Methode der Rasterkraftmikroskopie sowie des dazu verwendeten Instrumentariums. [3 P]</w:t>
      </w:r>
    </w:p>
    <w:p w:rsidR="00471F16" w:rsidRDefault="00471F16" w:rsidP="000E0288">
      <w:pPr>
        <w:pStyle w:val="KeinLeerraum"/>
        <w:ind w:left="360"/>
      </w:pPr>
    </w:p>
    <w:p w:rsidR="00471F16" w:rsidRDefault="00471F16" w:rsidP="000E0288">
      <w:pPr>
        <w:pStyle w:val="KeinLeerraum"/>
        <w:ind w:left="360"/>
        <w:jc w:val="both"/>
      </w:pPr>
      <w:r w:rsidRPr="00471F16">
        <w:t xml:space="preserve">Eine Messspitze (engl. </w:t>
      </w:r>
      <w:proofErr w:type="spellStart"/>
      <w:r w:rsidRPr="00471F16">
        <w:t>tip</w:t>
      </w:r>
      <w:proofErr w:type="spellEnd"/>
      <w:r w:rsidRPr="00471F16">
        <w:t xml:space="preserve">), die sich auf einem elastisch biegsamen Hebelarm (engl. </w:t>
      </w:r>
      <w:proofErr w:type="spellStart"/>
      <w:r w:rsidRPr="00471F16">
        <w:t>cantilever</w:t>
      </w:r>
      <w:proofErr w:type="spellEnd"/>
      <w:r w:rsidRPr="00471F16">
        <w:t xml:space="preserve">) befindet, wird als Messsonde (engl. probe) in geringem Abstand über die Probenoberfläche geführt. Ein piezoelektrischer Scanner bewegt hierfür entweder die Spitze über die Probe oder die Probe unter der feststehenden Spitze. Die Verbiegungen des Hebelarms, hervorgerufen durch Kräfte zwischen Probe (engl. sample) und Spitze, werden hochaufgelöst gemessen, meist indem ein Laserstrahl auf die Spitze gerichtet und der reflektierte Strahl mit einem </w:t>
      </w:r>
      <w:proofErr w:type="spellStart"/>
      <w:r w:rsidRPr="00471F16">
        <w:t>Photodetektor</w:t>
      </w:r>
      <w:proofErr w:type="spellEnd"/>
      <w:r w:rsidRPr="00471F16">
        <w:t xml:space="preserve"> aufgefangen wird (Lichtzeigerprinzip). Alternativ kann die Messung der Verbiegung des Hebelarms interferometrisch erfolgen. Die Verbiegungen des Hebelarms geben Aufschluss über die Oberflächeneigenschaften der Probe. Ein wichtiges Element eines Rasterkraftmikroskops ist der Controller, der die Bewegung des Scanners und der Probe bzw. Spitze steuert sowie die Signale auswertet. Die Bedienung des Geräts wird erleichtert, wenn die Positionierung des Lasers und der Spitze durch ein lichtoptisches Mikroskop unterstützt werden.</w:t>
      </w:r>
    </w:p>
    <w:p w:rsidR="00471F16" w:rsidRDefault="00471F16" w:rsidP="000E0288">
      <w:pPr>
        <w:pStyle w:val="KeinLeerraum"/>
        <w:ind w:left="360"/>
        <w:jc w:val="both"/>
      </w:pPr>
      <w:r w:rsidRPr="00471F16">
        <w:t xml:space="preserve">Während der Messung wird eine an einer Blattfeder befestigte </w:t>
      </w:r>
      <w:proofErr w:type="spellStart"/>
      <w:r w:rsidRPr="00471F16">
        <w:t>nanoskopisch</w:t>
      </w:r>
      <w:proofErr w:type="spellEnd"/>
      <w:r w:rsidRPr="00471F16">
        <w:t xml:space="preserve"> kleine Nadel zeilenweise in einem definierten Raster über die Oberfläche einer Probe geführt. Dieser Vorgang wird als Scannen</w:t>
      </w:r>
      <w:r>
        <w:t xml:space="preserve"> </w:t>
      </w:r>
      <w:r w:rsidRPr="00471F16">
        <w:t xml:space="preserve">bezeichnet. Durch die Oberflächenstruktur der Probe biegt sich dabei die Blattfeder positionsabhängig unterschiedlich weit. Diese Verbiegung bzw. Auslenkung der Spitze kann mit kapazitiven oder typischerweise optischen Sensoren gemessen werden und ist ein Maß für zwischen der Spitze und der Oberfläche wirkende atomare Kräfte. Neben den anziehenden, </w:t>
      </w:r>
      <w:proofErr w:type="spellStart"/>
      <w:r w:rsidRPr="00471F16">
        <w:t>langreichweitigen</w:t>
      </w:r>
      <w:proofErr w:type="spellEnd"/>
      <w:r w:rsidRPr="00471F16">
        <w:t xml:space="preserve"> Van-der-Waals- und Kapillarkräften treten starke abstoßende Kräfte mit geringer Reichweite auf.</w:t>
      </w:r>
      <w:r>
        <w:t xml:space="preserve"> D</w:t>
      </w:r>
      <w:r w:rsidRPr="00471F16">
        <w:t>urch das punktweise Aufzeichnen der Auslenkungen bzw. Kräfte lässt sich eine Abbildung der Probenoberfläche erzeugen.</w:t>
      </w:r>
    </w:p>
    <w:p w:rsidR="00471F16" w:rsidRDefault="00471F16" w:rsidP="00471F16">
      <w:pPr>
        <w:pStyle w:val="KeinLeerraum"/>
      </w:pPr>
    </w:p>
    <w:p w:rsidR="00471F16" w:rsidRDefault="00053C8B" w:rsidP="00471F16">
      <w:pPr>
        <w:pStyle w:val="KeinLeerraum"/>
        <w:numPr>
          <w:ilvl w:val="0"/>
          <w:numId w:val="1"/>
        </w:numPr>
      </w:pPr>
      <w:r>
        <w:t>Beschrei</w:t>
      </w:r>
      <w:r w:rsidR="00826B71">
        <w:t>ben Sie die unterschiedlichen Methoden zur Bestimmung der Topographie von Oberflächen bestehend aus „weichen“ organischen Materialien oder aus „harten“ anorganischen Festkörpern. [2 P]</w:t>
      </w:r>
    </w:p>
    <w:p w:rsidR="00471F16" w:rsidRDefault="00471F16" w:rsidP="00471F16">
      <w:pPr>
        <w:pStyle w:val="KeinLeerraum"/>
      </w:pPr>
    </w:p>
    <w:p w:rsidR="00471F16" w:rsidRDefault="005E2C59" w:rsidP="005E2C59">
      <w:pPr>
        <w:pStyle w:val="KeinLeerraum"/>
        <w:ind w:left="360"/>
        <w:jc w:val="both"/>
      </w:pPr>
      <w:r>
        <w:t>Mittels der Rastertunnelmikroskopie kann die Topgraphie einer Oberfläche ohne Berührung ermittelt werden. Die Messsonde ist elektrisch leitend. Eine Spannung zwischen Probe und Sonde führt zu einem messbaren Tunnelstrom. Dieser ist abhängig von der angelegten Spannung und der Höhe z. Die Abhängigkeit dieser beiden Größen bildet das Oberflächenprofil ab. Da die Messmethode berührungslos ist, eignet sie sich vor allem für weiche Materialien.</w:t>
      </w:r>
    </w:p>
    <w:p w:rsidR="005E2C59" w:rsidRDefault="005E2C59" w:rsidP="005E2C59">
      <w:pPr>
        <w:pStyle w:val="KeinLeerraum"/>
        <w:ind w:left="360"/>
        <w:jc w:val="both"/>
      </w:pPr>
      <w:r>
        <w:t xml:space="preserve">Mittels Rasterkraftmikroskopie wird eine </w:t>
      </w:r>
      <w:proofErr w:type="spellStart"/>
      <w:r>
        <w:t>nanoskopisch</w:t>
      </w:r>
      <w:proofErr w:type="spellEnd"/>
      <w:r>
        <w:t xml:space="preserve"> kleine Nadel zeilenweise über die Probe geführt. Die Auslenkung der Spitze kann mit kapazitiven oder optischen Sensoren gemessen werden. Die Verbiegung des Hebelarms gibt Aufschluss über die Oberflächeneigenschaft der Probe. Da hierbei eine weiche Probe durch die Nadel beschädigt werden könnte, eignet sich die Methode eher für harte Festkörper.</w:t>
      </w:r>
    </w:p>
    <w:p w:rsidR="00471F16" w:rsidRDefault="00471F16" w:rsidP="00471F16">
      <w:pPr>
        <w:pStyle w:val="KeinLeerraum"/>
      </w:pPr>
    </w:p>
    <w:p w:rsidR="00826B71" w:rsidRDefault="00826B71" w:rsidP="00826B71">
      <w:pPr>
        <w:pStyle w:val="KeinLeerraum"/>
        <w:numPr>
          <w:ilvl w:val="0"/>
          <w:numId w:val="1"/>
        </w:numPr>
      </w:pPr>
      <w:r>
        <w:t>Welche Bauart eines Rasterkraftmikroskops würden Sie empfehlen, um exemplarisch an einigen Stellen die oberflächliche Nanostruktur eines Flugzeugflügels zu bestimmen (ohne den Flügel zu zerstören)? [2 P]</w:t>
      </w:r>
      <w:r w:rsidR="00F87252">
        <w:t xml:space="preserve"> </w:t>
      </w:r>
    </w:p>
    <w:p w:rsidR="00471F16" w:rsidRDefault="00471F16" w:rsidP="00471F16">
      <w:pPr>
        <w:pStyle w:val="KeinLeerraum"/>
      </w:pPr>
    </w:p>
    <w:p w:rsidR="00471F16" w:rsidRDefault="005E2C59" w:rsidP="005E2C59">
      <w:pPr>
        <w:pStyle w:val="KeinLeerraum"/>
        <w:ind w:left="360"/>
      </w:pPr>
      <w:r>
        <w:t>Rastertunnelmikroskopie?</w:t>
      </w:r>
    </w:p>
    <w:p w:rsidR="00471F16" w:rsidRDefault="00471F16" w:rsidP="00471F16">
      <w:pPr>
        <w:pStyle w:val="KeinLeerraum"/>
      </w:pPr>
    </w:p>
    <w:p w:rsidR="00826B71" w:rsidRDefault="00826B71" w:rsidP="00826B71">
      <w:pPr>
        <w:pStyle w:val="KeinLeerraum"/>
        <w:numPr>
          <w:ilvl w:val="0"/>
          <w:numId w:val="1"/>
        </w:numPr>
      </w:pPr>
      <w:r>
        <w:t xml:space="preserve">Erläutern Sie eine Methode zur Analyse der chemischen Zusammensetzung einer 10 </w:t>
      </w:r>
      <w:proofErr w:type="spellStart"/>
      <w:r>
        <w:t>nm</w:t>
      </w:r>
      <w:proofErr w:type="spellEnd"/>
      <w:r>
        <w:t xml:space="preserve"> dünnen Beschichtung eines Festkörpers und gehen Sie dabei auf die physikalische Grundlage der Methode ein. [3 P]</w:t>
      </w:r>
    </w:p>
    <w:p w:rsidR="00471F16" w:rsidRDefault="00471F16" w:rsidP="00471F16">
      <w:pPr>
        <w:pStyle w:val="KeinLeerraum"/>
      </w:pPr>
    </w:p>
    <w:p w:rsidR="00471F16" w:rsidRDefault="000E0288" w:rsidP="005279B3">
      <w:pPr>
        <w:pStyle w:val="KeinLeerraum"/>
        <w:ind w:left="360"/>
        <w:jc w:val="both"/>
      </w:pPr>
      <w:r>
        <w:t xml:space="preserve">Zur Analyse der chemischen Zusammensetzung einer Beschichtung eignet sich die ESCA/XPS Methode. </w:t>
      </w:r>
      <w:r w:rsidRPr="000E0288">
        <w:t xml:space="preserve">Die </w:t>
      </w:r>
      <w:proofErr w:type="spellStart"/>
      <w:r w:rsidRPr="000E0288">
        <w:t>Photoelektronenspektroskopien</w:t>
      </w:r>
      <w:proofErr w:type="spellEnd"/>
      <w:r w:rsidRPr="000E0288">
        <w:t xml:space="preserve"> (PES) beruhen auf dem äußeren Photoeffekt, bei dem Photoelektronen durch elektromagnetische Strahlung (in diesem Fall Röntgenstrahlung) aus einem Festkörper gelöst werden. Hierbei erfolgt die Abspaltung der Elektronen aus den inneren Atomorbitalen (Rumpfelektronen). In einem vereinfachten Modell verläuft der Prozess der </w:t>
      </w:r>
      <w:proofErr w:type="spellStart"/>
      <w:r w:rsidRPr="000E0288">
        <w:t>Photoemission</w:t>
      </w:r>
      <w:proofErr w:type="spellEnd"/>
      <w:r w:rsidRPr="000E0288">
        <w:t xml:space="preserve"> in drei Schritten. Zunächst erfolgt die Anregung des Elektrons durch das einfallende Photon, danach der Transport des angeregten Elektrons zur Oberfläche und als dritter Schritt der Austritt des Photoelektrons. Die Bindungsenergie E</w:t>
      </w:r>
      <w:r w:rsidRPr="000E0288">
        <w:rPr>
          <w:vertAlign w:val="subscript"/>
        </w:rPr>
        <w:t>B</w:t>
      </w:r>
      <w:r w:rsidRPr="000E0288">
        <w:t>, die aus der kinetischen Energie der Photoelektronen bestimmt werden kann, ist charakteristisch für das Atom (genauer sogar für das Orbital), aus dem das Elektron stammt. Der zur Messung verwendete Analysator (meist ein Halbkugelanalysator) wird über elektrostatische Linsen und Gegenspannungen so eingestellt, dass ihn nur Elektronen einer bestimmten Energie passieren können. Für die XPS-Messung werden die Elektronen, die am Ende des Analysators noch ankommen, über einen Sekundärelektronenvervielfacher detektiert, so dass ein Spektrum entsteht, welches meistens in einem Graph durch die Auftragung der Intensität (Zählrate) über der kinetischen Energie der Photoelektronen dargestellt wird</w:t>
      </w:r>
      <w:r w:rsidR="005279B3">
        <w:t>. Die Intensität, also die Zählrate dieser Messungen, ist proportional zur Häufigkeit des Auftretens der verschiedenen Elemente in der Probe. Um die chemische Zusammensetzung eines Festkörpers zu bestimmen, muss man die Fläche unterhalb der beobachteten Linien, die charakteristisch für die Elemente sind, auswerten. Außerdem ist bei XPS-Messungen zu beachten, dass die Wahrscheinlichkeit für das Auslösen eines Photoelektrons energieabhängig, elementspezifisch und orbitalabhängig ist (deswegen Sensitivitätsfaktor). Zudem müssen sogenannte Sekundärelektronen berücksichtigt werden.</w:t>
      </w:r>
    </w:p>
    <w:p w:rsidR="00826B71" w:rsidRDefault="00826B71" w:rsidP="00826B71">
      <w:pPr>
        <w:pStyle w:val="KeinLeerraum"/>
      </w:pPr>
    </w:p>
    <w:p w:rsidR="00826B71" w:rsidRDefault="00826B71" w:rsidP="00826B71">
      <w:pPr>
        <w:pStyle w:val="KeinLeerraum"/>
      </w:pPr>
      <w:r>
        <w:t>Aufgabe 3: Nanostrukturierte Membranen</w:t>
      </w:r>
    </w:p>
    <w:p w:rsidR="00826B71" w:rsidRDefault="00826B71" w:rsidP="00826B71">
      <w:pPr>
        <w:pStyle w:val="KeinLeerraum"/>
        <w:numPr>
          <w:ilvl w:val="0"/>
          <w:numId w:val="2"/>
        </w:numPr>
      </w:pPr>
      <w:r>
        <w:t xml:space="preserve">Geben Sie ein Beispiel sogenannter 0-dimensionaler Nanomaterialien und erläutern Sie die unterschiedlichen </w:t>
      </w:r>
      <w:r w:rsidRPr="004B2959">
        <w:rPr>
          <w:color w:val="00B0F0"/>
        </w:rPr>
        <w:t xml:space="preserve">elektronischen Energiezustände </w:t>
      </w:r>
      <w:r>
        <w:t xml:space="preserve">dieser Nanoobjekte im Gegensatz </w:t>
      </w:r>
      <w:r w:rsidR="007A64A0">
        <w:t>zu makroskopischen Festkörpern oder Atomen. [2 P]</w:t>
      </w:r>
    </w:p>
    <w:p w:rsidR="00471F16" w:rsidRDefault="00471F16" w:rsidP="00471F16">
      <w:pPr>
        <w:pStyle w:val="KeinLeerraum"/>
      </w:pPr>
    </w:p>
    <w:p w:rsidR="00471F16" w:rsidRDefault="00E87A50" w:rsidP="00F87252">
      <w:pPr>
        <w:pStyle w:val="KeinLeerraum"/>
        <w:ind w:left="360"/>
        <w:jc w:val="both"/>
      </w:pPr>
      <w:r>
        <w:t>0-dimensionale Nanoobjekte sind Partikel.</w:t>
      </w:r>
      <w:r w:rsidR="00F87252">
        <w:t xml:space="preserve"> </w:t>
      </w:r>
      <w:proofErr w:type="spellStart"/>
      <w:r w:rsidR="00F87252" w:rsidRPr="00F87252">
        <w:t>Silsesquioxane</w:t>
      </w:r>
      <w:proofErr w:type="spellEnd"/>
      <w:r w:rsidR="00F87252" w:rsidRPr="00F87252">
        <w:t xml:space="preserve"> haben eine käfigförmige, dreidimensionale Struktur mit der allgemeinen Summenformel (RSiO</w:t>
      </w:r>
      <w:r w:rsidR="00F87252" w:rsidRPr="00F87252">
        <w:rPr>
          <w:vertAlign w:val="subscript"/>
        </w:rPr>
        <w:t>1,</w:t>
      </w:r>
      <w:proofErr w:type="gramStart"/>
      <w:r w:rsidR="00F87252" w:rsidRPr="00F87252">
        <w:rPr>
          <w:vertAlign w:val="subscript"/>
        </w:rPr>
        <w:t>5</w:t>
      </w:r>
      <w:r w:rsidR="00F87252" w:rsidRPr="00F87252">
        <w:t>)n</w:t>
      </w:r>
      <w:proofErr w:type="gramEnd"/>
      <w:r w:rsidR="00F87252" w:rsidRPr="00F87252">
        <w:t xml:space="preserve"> (n ≥ 6). Wobei das </w:t>
      </w:r>
      <w:proofErr w:type="spellStart"/>
      <w:r w:rsidR="00F87252" w:rsidRPr="00F87252">
        <w:t>octafunktionelle</w:t>
      </w:r>
      <w:proofErr w:type="spellEnd"/>
      <w:r w:rsidR="00F87252" w:rsidRPr="00F87252">
        <w:t xml:space="preserve"> </w:t>
      </w:r>
      <w:proofErr w:type="spellStart"/>
      <w:r w:rsidR="00F87252" w:rsidRPr="00F87252">
        <w:t>polyhedrische</w:t>
      </w:r>
      <w:proofErr w:type="spellEnd"/>
      <w:r w:rsidR="00F87252" w:rsidRPr="00F87252">
        <w:t xml:space="preserve"> </w:t>
      </w:r>
      <w:proofErr w:type="spellStart"/>
      <w:r w:rsidR="00F87252" w:rsidRPr="00F87252">
        <w:t>Silsesquioxan</w:t>
      </w:r>
      <w:proofErr w:type="spellEnd"/>
      <w:r w:rsidR="00F87252" w:rsidRPr="00F87252">
        <w:t xml:space="preserve"> (POSS) mit der Summenformel (RSiO</w:t>
      </w:r>
      <w:r w:rsidR="00F87252" w:rsidRPr="00F87252">
        <w:rPr>
          <w:vertAlign w:val="subscript"/>
        </w:rPr>
        <w:t>1,5</w:t>
      </w:r>
      <w:r w:rsidR="00F87252" w:rsidRPr="00F87252">
        <w:t>)</w:t>
      </w:r>
      <w:r w:rsidR="00F87252" w:rsidRPr="00F87252">
        <w:rPr>
          <w:vertAlign w:val="superscript"/>
        </w:rPr>
        <w:t>8</w:t>
      </w:r>
      <w:r w:rsidR="00F87252" w:rsidRPr="00F87252">
        <w:t xml:space="preserve"> der interessanteste Vertreter ist. Diese kubischen </w:t>
      </w:r>
      <w:proofErr w:type="spellStart"/>
      <w:r w:rsidR="00F87252" w:rsidRPr="00F87252">
        <w:t>Silicapartikel</w:t>
      </w:r>
      <w:proofErr w:type="spellEnd"/>
      <w:r w:rsidR="00F87252" w:rsidRPr="00F87252">
        <w:t xml:space="preserve"> zeichnen sich durch ihr definiertes dreidimensionales Si</w:t>
      </w:r>
      <w:r w:rsidR="00F87252" w:rsidRPr="00F87252">
        <w:rPr>
          <w:vertAlign w:val="subscript"/>
        </w:rPr>
        <w:t>8</w:t>
      </w:r>
      <w:r w:rsidR="00F87252" w:rsidRPr="00F87252">
        <w:t>O</w:t>
      </w:r>
      <w:r w:rsidR="00F87252" w:rsidRPr="00F87252">
        <w:rPr>
          <w:vertAlign w:val="subscript"/>
        </w:rPr>
        <w:t>12</w:t>
      </w:r>
      <w:r w:rsidR="00F87252" w:rsidRPr="00F87252">
        <w:t>-Grundskele</w:t>
      </w:r>
      <w:r w:rsidR="00F87252">
        <w:t>t</w:t>
      </w:r>
      <w:r w:rsidR="00F87252" w:rsidRPr="00F87252">
        <w:t xml:space="preserve">t, sowie der räumlichen Anordnung von acht reaktiven oder nicht reaktiven Restgruppen an </w:t>
      </w:r>
      <w:r w:rsidR="00F87252">
        <w:t>den Ecken des Würfels aus. Aufgru</w:t>
      </w:r>
      <w:r w:rsidR="00F87252" w:rsidRPr="00F87252">
        <w:t xml:space="preserve">nd des </w:t>
      </w:r>
      <w:r w:rsidR="00F87252">
        <w:t xml:space="preserve">chemisch </w:t>
      </w:r>
      <w:r w:rsidR="00F87252" w:rsidRPr="00F87252">
        <w:lastRenderedPageBreak/>
        <w:t>inerten und thermisch stabilen, anorganischen Si8O12-Würfels und den potenziell reaktiven und leicht modifizierbaren organischen Restgruppen können diese Moleküle als Hybridmaterialien, die zwischen anorganischen Keramiken und organischen Silikonen liegen, bezeichnet werden</w:t>
      </w:r>
      <w:r w:rsidR="004B2959">
        <w:t>.</w:t>
      </w:r>
    </w:p>
    <w:p w:rsidR="00E142AE" w:rsidRDefault="00E142AE" w:rsidP="00F87252">
      <w:pPr>
        <w:pStyle w:val="KeinLeerraum"/>
        <w:ind w:left="360"/>
        <w:jc w:val="both"/>
      </w:pPr>
      <w:r>
        <w:t xml:space="preserve">Bindung durch </w:t>
      </w:r>
      <w:proofErr w:type="spellStart"/>
      <w:r>
        <w:t>Chemi</w:t>
      </w:r>
      <w:proofErr w:type="spellEnd"/>
      <w:r>
        <w:t xml:space="preserve">- und </w:t>
      </w:r>
      <w:proofErr w:type="spellStart"/>
      <w:r>
        <w:t>Physisorption</w:t>
      </w:r>
      <w:proofErr w:type="spellEnd"/>
      <w:r>
        <w:t>?</w:t>
      </w:r>
    </w:p>
    <w:p w:rsidR="00471F16" w:rsidRDefault="00471F16" w:rsidP="00471F16">
      <w:pPr>
        <w:pStyle w:val="KeinLeerraum"/>
      </w:pPr>
    </w:p>
    <w:p w:rsidR="007A64A0" w:rsidRDefault="007A64A0" w:rsidP="00826B71">
      <w:pPr>
        <w:pStyle w:val="KeinLeerraum"/>
        <w:numPr>
          <w:ilvl w:val="0"/>
          <w:numId w:val="2"/>
        </w:numPr>
      </w:pPr>
      <w:r>
        <w:t>Geben Sie ein Beispiel eines sogenannten 1-dimensionalen Nanomaterials und erläutern Sie dessen Zusammensetzung und Gestalt. [2 P]</w:t>
      </w:r>
    </w:p>
    <w:p w:rsidR="007A64A0" w:rsidRDefault="007A64A0" w:rsidP="007A64A0">
      <w:pPr>
        <w:pStyle w:val="KeinLeerraum"/>
      </w:pPr>
    </w:p>
    <w:p w:rsidR="00471F16" w:rsidRDefault="00E87A50" w:rsidP="005279B3">
      <w:pPr>
        <w:pStyle w:val="KeinLeerraum"/>
        <w:ind w:left="360"/>
        <w:jc w:val="both"/>
      </w:pPr>
      <w:r>
        <w:t>1-dimensionale Nanoobjekte sind Fasern oder Röhren.</w:t>
      </w:r>
      <w:r w:rsidR="005279B3">
        <w:t xml:space="preserve"> Ein bekanntes Beispiel sind die sogenannten </w:t>
      </w:r>
      <w:r w:rsidR="005279B3" w:rsidRPr="005279B3">
        <w:t>Kohlenstoffnanoröhren, auch C</w:t>
      </w:r>
      <w:r w:rsidR="005279B3">
        <w:t xml:space="preserve">NT (englisch </w:t>
      </w:r>
      <w:proofErr w:type="spellStart"/>
      <w:r w:rsidR="005279B3">
        <w:t>carbon</w:t>
      </w:r>
      <w:proofErr w:type="spellEnd"/>
      <w:r w:rsidR="005279B3">
        <w:t xml:space="preserve"> </w:t>
      </w:r>
      <w:proofErr w:type="spellStart"/>
      <w:r w:rsidR="005279B3">
        <w:t>nanotubes</w:t>
      </w:r>
      <w:proofErr w:type="spellEnd"/>
      <w:r w:rsidR="005279B3">
        <w:t xml:space="preserve">). Diese </w:t>
      </w:r>
      <w:r w:rsidR="005279B3" w:rsidRPr="005279B3">
        <w:t>sind mikroskopisch kleine röhrenförmige Gebilde (molekulare Nanoröhren) aus Kohlenstoff.</w:t>
      </w:r>
      <w:r w:rsidR="005279B3">
        <w:t xml:space="preserve"> Ihre Wände bestehen nur aus Kohlenstoff, wobei die Kohlenstoffatome eine wabenartige Struktur mit Sechsecken und jeweils drei Bindungspartnern einnehmen. Der Durchmesser liegt meist im Bereich von 1 bis 50 nm. Eingesetzt werden die Röhrchen z.B. für Displays.</w:t>
      </w:r>
    </w:p>
    <w:p w:rsidR="004B2959" w:rsidRDefault="004B2959" w:rsidP="005279B3">
      <w:pPr>
        <w:pStyle w:val="KeinLeerraum"/>
        <w:ind w:left="360"/>
        <w:jc w:val="both"/>
      </w:pPr>
      <w:r>
        <w:t xml:space="preserve">2-dimensional: Schichtsilikate, 3-dimensionale: </w:t>
      </w:r>
      <w:proofErr w:type="spellStart"/>
      <w:r>
        <w:t>Silika</w:t>
      </w:r>
      <w:proofErr w:type="spellEnd"/>
      <w:r>
        <w:t>-Nanopartikel</w:t>
      </w:r>
    </w:p>
    <w:p w:rsidR="00471F16" w:rsidRDefault="00471F16" w:rsidP="007A64A0">
      <w:pPr>
        <w:pStyle w:val="KeinLeerraum"/>
      </w:pPr>
    </w:p>
    <w:p w:rsidR="007A64A0" w:rsidRDefault="007A64A0" w:rsidP="007A64A0">
      <w:pPr>
        <w:pStyle w:val="KeinLeerraum"/>
      </w:pPr>
      <w:r>
        <w:t>Aufgabe 4: Selbst-assemblierende Monoschichten (SAM)</w:t>
      </w:r>
    </w:p>
    <w:p w:rsidR="007A64A0" w:rsidRDefault="007A64A0" w:rsidP="007A64A0">
      <w:pPr>
        <w:pStyle w:val="KeinLeerraum"/>
        <w:numPr>
          <w:ilvl w:val="0"/>
          <w:numId w:val="3"/>
        </w:numPr>
      </w:pPr>
      <w:r>
        <w:t xml:space="preserve">Erläutern Sie die generelle Struktur einer selbst-assemblierenden Monoschicht und gehen Sie auf die dabei wirkenden Kräfte zwischen den molekularen Bausteinen ein sowie auf </w:t>
      </w:r>
      <w:r w:rsidRPr="00A37644">
        <w:rPr>
          <w:color w:val="00B0F0"/>
        </w:rPr>
        <w:t>Parameter</w:t>
      </w:r>
      <w:r>
        <w:t>, die zu einem hohen molekularen Ordnungsgrad innerhalb der Schicht führen. [3 P]</w:t>
      </w:r>
    </w:p>
    <w:p w:rsidR="00471F16" w:rsidRDefault="00471F16" w:rsidP="00471F16">
      <w:pPr>
        <w:pStyle w:val="KeinLeerraum"/>
      </w:pPr>
    </w:p>
    <w:p w:rsidR="00471F16" w:rsidRDefault="00754639" w:rsidP="00CA5AE5">
      <w:pPr>
        <w:pStyle w:val="KeinLeerraum"/>
        <w:ind w:left="360"/>
        <w:jc w:val="both"/>
      </w:pPr>
      <w:r>
        <w:t>Eine SAM besteht aus einem Festkörper, auf welchem die Moleküle binden können. Dafür wird eine sogenannte Ankergruppe/</w:t>
      </w:r>
      <w:proofErr w:type="spellStart"/>
      <w:r>
        <w:t>head</w:t>
      </w:r>
      <w:proofErr w:type="spellEnd"/>
      <w:r>
        <w:t xml:space="preserve"> </w:t>
      </w:r>
      <w:proofErr w:type="spellStart"/>
      <w:r>
        <w:t>group</w:t>
      </w:r>
      <w:proofErr w:type="spellEnd"/>
      <w:r>
        <w:t xml:space="preserve"> benötigt, eine funktionelle Gruppe mit der Fähigkeit eine starke (häufig kovalente) Bindung mit dem Substrat einzugehen. Darauf folgt der </w:t>
      </w:r>
      <w:proofErr w:type="spellStart"/>
      <w:r>
        <w:t>Spacer</w:t>
      </w:r>
      <w:proofErr w:type="spellEnd"/>
      <w:r>
        <w:t xml:space="preserve">/Backbone, eine organische Verbindung mit gewünschten Eigenschaften. Abschließend </w:t>
      </w:r>
      <w:r w:rsidR="005D3275">
        <w:t>kann</w:t>
      </w:r>
      <w:r>
        <w:t xml:space="preserve"> die Kopfgruppe/terminal </w:t>
      </w:r>
      <w:proofErr w:type="spellStart"/>
      <w:r>
        <w:t>group</w:t>
      </w:r>
      <w:proofErr w:type="spellEnd"/>
      <w:r w:rsidR="005D3275">
        <w:t xml:space="preserve"> folgen, welche sich zum Lösungsmittel hin ausrichtet.</w:t>
      </w:r>
      <w:r w:rsidR="00B83A1F">
        <w:t xml:space="preserve"> Zwischen der Ankergruppe und dem Substrat wirkt eine chemische Bindung, häufig kovalent. Zwischen den sich annähernden Abstandshaltern wirken Van-der-Wals Kräfte und elektrostatische Interaktionen. Die Kopfgruppen können verschiedene reaktive Funktionalitäten aufweisen. Über die Wahl der Kopfgruppe können die physikochemischen Oberflächen- bzw. Grenzflächeneigenschaften gezielt eingestellt werden.</w:t>
      </w:r>
      <w:r w:rsidR="00A37644">
        <w:t xml:space="preserve"> </w:t>
      </w:r>
    </w:p>
    <w:p w:rsidR="00A37644" w:rsidRDefault="00A37644" w:rsidP="00CA5AE5">
      <w:pPr>
        <w:pStyle w:val="KeinLeerraum"/>
        <w:ind w:left="360"/>
        <w:jc w:val="both"/>
      </w:pPr>
      <w:r>
        <w:t xml:space="preserve">Bei SAM aus langkettigen Thiolen ist die Halbwertsbreite ein Parameter, der den Ordnungsgrad der Oberfläche angibt. Je kleiner der Wert, desto höher die Ordnung. Dies kann durch die Kettenlänge beeinflusst werden. </w:t>
      </w:r>
      <w:r w:rsidR="00D96CEE">
        <w:t>Sie sollte größer als 6, aber nicht mehr als 25 betragen, um eine möglichst hohe Ordnung zu erzielen. Ein weiterer Parameter ist der Reibungskoeffizient. Dieser sinkt mit zunehmender Kettenlänge und somit auch mit zunehmender Ordnung (bis n=25).</w:t>
      </w:r>
    </w:p>
    <w:p w:rsidR="00471F16" w:rsidRDefault="00471F16" w:rsidP="00471F16">
      <w:pPr>
        <w:pStyle w:val="KeinLeerraum"/>
      </w:pPr>
    </w:p>
    <w:p w:rsidR="007A64A0" w:rsidRDefault="007A64A0" w:rsidP="007A64A0">
      <w:pPr>
        <w:pStyle w:val="KeinLeerraum"/>
        <w:numPr>
          <w:ilvl w:val="0"/>
          <w:numId w:val="3"/>
        </w:numPr>
      </w:pPr>
      <w:r>
        <w:t xml:space="preserve">Erläutern Sie die strukturellen Unterschiede zwischen SAM aus Thiolen und </w:t>
      </w:r>
      <w:proofErr w:type="spellStart"/>
      <w:r>
        <w:t>Silanen</w:t>
      </w:r>
      <w:proofErr w:type="spellEnd"/>
      <w:r>
        <w:t xml:space="preserve"> an den jeweiligen Festköpersubstraten. [4 P]</w:t>
      </w:r>
    </w:p>
    <w:p w:rsidR="00471F16" w:rsidRDefault="00471F16" w:rsidP="00471F16">
      <w:pPr>
        <w:pStyle w:val="KeinLeerraum"/>
      </w:pPr>
    </w:p>
    <w:p w:rsidR="00CA6DD8" w:rsidRDefault="00F140D3" w:rsidP="00CA6DD8">
      <w:pPr>
        <w:pStyle w:val="KeinLeerraum"/>
        <w:ind w:left="360"/>
        <w:jc w:val="both"/>
      </w:pPr>
      <w:r>
        <w:t xml:space="preserve">SAM aus Thiolen </w:t>
      </w:r>
      <w:r w:rsidR="00CA6DD8">
        <w:t xml:space="preserve">bestehen aus </w:t>
      </w:r>
      <w:proofErr w:type="spellStart"/>
      <w:r w:rsidR="00CA6DD8">
        <w:t>Organothiolaten</w:t>
      </w:r>
      <w:proofErr w:type="spellEnd"/>
      <w:r w:rsidR="00CA6DD8">
        <w:t xml:space="preserve"> an Edelmetallen, vor allem Silber und Gold. Hierbei </w:t>
      </w:r>
      <w:proofErr w:type="spellStart"/>
      <w:r w:rsidR="00CA6DD8">
        <w:t>chemisorbiert</w:t>
      </w:r>
      <w:proofErr w:type="spellEnd"/>
      <w:r w:rsidR="00CA6DD8">
        <w:t xml:space="preserve"> die </w:t>
      </w:r>
      <w:proofErr w:type="spellStart"/>
      <w:r w:rsidR="00CA6DD8">
        <w:t>Thiolankergruppe</w:t>
      </w:r>
      <w:proofErr w:type="spellEnd"/>
      <w:r w:rsidR="00CA6DD8">
        <w:t xml:space="preserve"> (SH-Gruppe) unter Abspaltung von Wasserstoff auf Gold. Dabei entsteht </w:t>
      </w:r>
      <w:proofErr w:type="spellStart"/>
      <w:r w:rsidR="00CA6DD8">
        <w:t>Thiolat</w:t>
      </w:r>
      <w:proofErr w:type="spellEnd"/>
      <w:r w:rsidR="00CA6DD8">
        <w:t xml:space="preserve"> und eine starke kovalente Bildung zu Gold. Bei der energetischen Betrachtung der SAM-Bildung kommt es erst zur </w:t>
      </w:r>
      <w:proofErr w:type="spellStart"/>
      <w:r w:rsidR="00CA6DD8">
        <w:t>Physisorption</w:t>
      </w:r>
      <w:proofErr w:type="spellEnd"/>
      <w:r w:rsidR="00CA6DD8">
        <w:t xml:space="preserve">, dann zur </w:t>
      </w:r>
      <w:proofErr w:type="spellStart"/>
      <w:r w:rsidR="00CA6DD8">
        <w:t>Chemisorption</w:t>
      </w:r>
      <w:proofErr w:type="spellEnd"/>
      <w:r w:rsidR="00CA6DD8">
        <w:t xml:space="preserve"> und schließlich zu einer </w:t>
      </w:r>
      <w:r w:rsidR="00CA6DD8">
        <w:lastRenderedPageBreak/>
        <w:t>Ausrichtung der Molekülketten. Der Ordnungsgrad der SAM-Schicht ist abhängig von der Kettenlänge. N sollte größer als 6, aber nicht mehr als 25 betragen, um eine möglichst hohe Ordnung zu erzielen.</w:t>
      </w:r>
    </w:p>
    <w:p w:rsidR="00CA6DD8" w:rsidRDefault="00CA6DD8" w:rsidP="00CA6DD8">
      <w:pPr>
        <w:pStyle w:val="KeinLeerraum"/>
        <w:ind w:left="360"/>
        <w:jc w:val="both"/>
      </w:pPr>
      <w:r>
        <w:t xml:space="preserve">SAM können auch aus </w:t>
      </w:r>
      <w:proofErr w:type="spellStart"/>
      <w:r>
        <w:t>Organosilanen</w:t>
      </w:r>
      <w:proofErr w:type="spellEnd"/>
      <w:r>
        <w:t xml:space="preserve"> bestehen, welche an Oxid-Oberflächen, insbesondere Halbleiteroxide, binden. </w:t>
      </w:r>
      <w:proofErr w:type="spellStart"/>
      <w:r>
        <w:t>Organosilane</w:t>
      </w:r>
      <w:proofErr w:type="spellEnd"/>
      <w:r>
        <w:t xml:space="preserve"> sind funktionelle </w:t>
      </w:r>
      <w:proofErr w:type="spellStart"/>
      <w:r>
        <w:t>Silane</w:t>
      </w:r>
      <w:proofErr w:type="spellEnd"/>
      <w:r>
        <w:t xml:space="preserve">, die zur Oberflächenfunktionalisierung verwendet werden. </w:t>
      </w:r>
      <w:r w:rsidR="00B2281C">
        <w:t xml:space="preserve">Das </w:t>
      </w:r>
      <w:proofErr w:type="spellStart"/>
      <w:r w:rsidR="00B2281C">
        <w:t>Silan</w:t>
      </w:r>
      <w:proofErr w:type="spellEnd"/>
      <w:r w:rsidR="00B2281C">
        <w:t xml:space="preserve"> reagiert erst durch Hydrolyse-Reaktion mit Wasser zum </w:t>
      </w:r>
      <w:proofErr w:type="spellStart"/>
      <w:r w:rsidR="00B2281C">
        <w:t>Silanol</w:t>
      </w:r>
      <w:proofErr w:type="spellEnd"/>
      <w:r w:rsidR="00B2281C">
        <w:t xml:space="preserve">, welches mittels H-Brücken an der </w:t>
      </w:r>
      <w:proofErr w:type="spellStart"/>
      <w:r w:rsidR="00B2281C">
        <w:t>Silanol</w:t>
      </w:r>
      <w:proofErr w:type="spellEnd"/>
      <w:r w:rsidR="00B2281C">
        <w:t xml:space="preserve">-Oberfläche des Festkörpers anhaftet und sich dann im Idealfall durch Kondensationsreaktion mit den OH-Gruppen an der Substratoberfläche kovalent verankert. </w:t>
      </w:r>
      <w:proofErr w:type="spellStart"/>
      <w:r w:rsidR="00B2281C">
        <w:t>Organosilan</w:t>
      </w:r>
      <w:proofErr w:type="spellEnd"/>
      <w:r w:rsidR="00B2281C">
        <w:t xml:space="preserve">-SAM sind typischerweise stabiler. Der Ordnungsgrad ist bei </w:t>
      </w:r>
      <w:proofErr w:type="spellStart"/>
      <w:r w:rsidR="00B2281C">
        <w:t>Silan</w:t>
      </w:r>
      <w:proofErr w:type="spellEnd"/>
      <w:r w:rsidR="00B2281C">
        <w:t xml:space="preserve">-SAM geringer als bei </w:t>
      </w:r>
      <w:proofErr w:type="spellStart"/>
      <w:r w:rsidR="00B2281C">
        <w:t>Thiolat</w:t>
      </w:r>
      <w:proofErr w:type="spellEnd"/>
      <w:r w:rsidR="00B2281C">
        <w:t>-SAM.</w:t>
      </w:r>
    </w:p>
    <w:p w:rsidR="007A64A0" w:rsidRDefault="007A64A0" w:rsidP="007A64A0">
      <w:pPr>
        <w:pStyle w:val="KeinLeerraum"/>
      </w:pPr>
    </w:p>
    <w:p w:rsidR="007A64A0" w:rsidRDefault="007A64A0" w:rsidP="007A64A0">
      <w:pPr>
        <w:pStyle w:val="KeinLeerraum"/>
      </w:pPr>
      <w:r>
        <w:t>Aufgabe 5: Protein-Monoschichten</w:t>
      </w:r>
    </w:p>
    <w:p w:rsidR="007A64A0" w:rsidRDefault="007A64A0" w:rsidP="007A64A0">
      <w:pPr>
        <w:pStyle w:val="KeinLeerraum"/>
        <w:numPr>
          <w:ilvl w:val="0"/>
          <w:numId w:val="5"/>
        </w:numPr>
      </w:pPr>
      <w:r>
        <w:t xml:space="preserve">Erläutern Sie den kontrollierten Aufbau einer molekular definierten Protein-Monoschicht aus </w:t>
      </w:r>
      <w:proofErr w:type="spellStart"/>
      <w:r>
        <w:t>Streptavidin</w:t>
      </w:r>
      <w:proofErr w:type="spellEnd"/>
      <w:r>
        <w:t xml:space="preserve"> auf einer Gold-Sensoroberfläche. [4 P]</w:t>
      </w:r>
    </w:p>
    <w:p w:rsidR="00471F16" w:rsidRDefault="00471F16" w:rsidP="00471F16">
      <w:pPr>
        <w:pStyle w:val="KeinLeerraum"/>
      </w:pPr>
    </w:p>
    <w:p w:rsidR="00471F16" w:rsidRPr="00233AE6" w:rsidRDefault="008F4BA5" w:rsidP="008F4BA5">
      <w:pPr>
        <w:pStyle w:val="KeinLeerraum"/>
        <w:ind w:left="360"/>
        <w:jc w:val="both"/>
      </w:pPr>
      <w:r>
        <w:t xml:space="preserve">Mithilfe von </w:t>
      </w:r>
      <w:proofErr w:type="spellStart"/>
      <w:r>
        <w:t>Biotinsilan</w:t>
      </w:r>
      <w:proofErr w:type="spellEnd"/>
      <w:r>
        <w:t xml:space="preserve"> kann eine solche Struktur aufgebaut werden. Das </w:t>
      </w:r>
      <w:proofErr w:type="spellStart"/>
      <w:r>
        <w:t>Biotinsilan</w:t>
      </w:r>
      <w:proofErr w:type="spellEnd"/>
      <w:r>
        <w:t xml:space="preserve"> ist ein langkettiges Molekül, welches einen reaktiven </w:t>
      </w:r>
      <w:proofErr w:type="spellStart"/>
      <w:r>
        <w:t>Silankopf</w:t>
      </w:r>
      <w:proofErr w:type="spellEnd"/>
      <w:r>
        <w:t xml:space="preserve"> auf der einen und einen reaktiven </w:t>
      </w:r>
      <w:proofErr w:type="spellStart"/>
      <w:r>
        <w:t>Biotinkopf</w:t>
      </w:r>
      <w:proofErr w:type="spellEnd"/>
      <w:r>
        <w:t xml:space="preserve"> auf der anderen Seite besitzt. Benötigt wird ein Substrat, am besten aus Gold oder Silber. </w:t>
      </w:r>
      <w:r w:rsidR="00233AE6">
        <w:t xml:space="preserve">Daran kann dann der </w:t>
      </w:r>
      <w:proofErr w:type="spellStart"/>
      <w:r w:rsidR="00233AE6">
        <w:t>Silankopf</w:t>
      </w:r>
      <w:proofErr w:type="spellEnd"/>
      <w:r w:rsidR="00233AE6">
        <w:t xml:space="preserve"> binden. Der </w:t>
      </w:r>
      <w:proofErr w:type="spellStart"/>
      <w:r w:rsidR="00233AE6">
        <w:t>Biotinkopf</w:t>
      </w:r>
      <w:proofErr w:type="spellEnd"/>
      <w:r w:rsidR="00233AE6">
        <w:t xml:space="preserve"> dient als Kopfgruppe, der von der Oberfläche zeigt. An diesen kann mit hoher Affinität dann das Molekül </w:t>
      </w:r>
      <w:proofErr w:type="spellStart"/>
      <w:r w:rsidR="00233AE6">
        <w:t>Streptavidin</w:t>
      </w:r>
      <w:proofErr w:type="spellEnd"/>
      <w:r w:rsidR="00233AE6">
        <w:t xml:space="preserve"> binden. Eine hohe Anzahl von WW sorgt für eine hohe K</w:t>
      </w:r>
      <w:r w:rsidR="00233AE6">
        <w:rPr>
          <w:vertAlign w:val="subscript"/>
        </w:rPr>
        <w:t>A</w:t>
      </w:r>
      <w:r w:rsidR="00233AE6">
        <w:t xml:space="preserve"> und eine hohe Stabilität der Bindung. Zudem kann noch ein sogenannter lateraler </w:t>
      </w:r>
      <w:proofErr w:type="spellStart"/>
      <w:r w:rsidR="00233AE6">
        <w:t>Spacer</w:t>
      </w:r>
      <w:proofErr w:type="spellEnd"/>
      <w:r w:rsidR="00233AE6">
        <w:t xml:space="preserve">/Abstandshalter eingebaut werden. Dies ist ein Molekül, welches schlecht an </w:t>
      </w:r>
      <w:proofErr w:type="spellStart"/>
      <w:r w:rsidR="00233AE6">
        <w:t>Streptavidin</w:t>
      </w:r>
      <w:proofErr w:type="spellEnd"/>
      <w:r w:rsidR="00233AE6">
        <w:t xml:space="preserve"> bindet. Es sorgt aber für eine dichte Schicht an der Oberfläche, während das </w:t>
      </w:r>
      <w:proofErr w:type="spellStart"/>
      <w:r w:rsidR="00233AE6">
        <w:t>Biotinsilan</w:t>
      </w:r>
      <w:proofErr w:type="spellEnd"/>
      <w:r w:rsidR="00233AE6">
        <w:t xml:space="preserve"> als vertikaler Abstandshalter dem </w:t>
      </w:r>
      <w:proofErr w:type="spellStart"/>
      <w:r w:rsidR="00233AE6">
        <w:t>Streptavidin</w:t>
      </w:r>
      <w:proofErr w:type="spellEnd"/>
      <w:r w:rsidR="00233AE6">
        <w:t xml:space="preserve"> ausreichend Platz einräumt.</w:t>
      </w:r>
      <w:r w:rsidR="004544F7">
        <w:t xml:space="preserve"> Hier entstehen immer spezifische und unspezifische Bindungen. Bei einem geringen </w:t>
      </w:r>
      <w:proofErr w:type="spellStart"/>
      <w:r w:rsidR="004544F7">
        <w:t>Biotinanteil</w:t>
      </w:r>
      <w:proofErr w:type="spellEnd"/>
      <w:r w:rsidR="004544F7">
        <w:t xml:space="preserve"> liegt aber eine hohe spezifische Bindung vor.</w:t>
      </w:r>
    </w:p>
    <w:p w:rsidR="00471F16" w:rsidRDefault="00471F16" w:rsidP="00471F16">
      <w:pPr>
        <w:pStyle w:val="KeinLeerraum"/>
      </w:pPr>
    </w:p>
    <w:p w:rsidR="007A64A0" w:rsidRDefault="007A64A0" w:rsidP="007A64A0">
      <w:pPr>
        <w:pStyle w:val="KeinLeerraum"/>
        <w:numPr>
          <w:ilvl w:val="0"/>
          <w:numId w:val="5"/>
        </w:numPr>
      </w:pPr>
      <w:r>
        <w:t>Welchen weiteren Aufbau der Oberfläche würden Sie empfehlen, um mit dem Sensor mit hoher Empfindlichkeit Antigene zu messen? [1 P]</w:t>
      </w:r>
    </w:p>
    <w:p w:rsidR="00471F16" w:rsidRDefault="00471F16" w:rsidP="00471F16">
      <w:pPr>
        <w:pStyle w:val="KeinLeerraum"/>
      </w:pPr>
    </w:p>
    <w:p w:rsidR="00471F16" w:rsidRDefault="00B85ED9" w:rsidP="001B4318">
      <w:pPr>
        <w:pStyle w:val="KeinLeerraum"/>
        <w:ind w:left="360"/>
        <w:jc w:val="both"/>
      </w:pPr>
      <w:r>
        <w:t xml:space="preserve">Um Antigene messen zu können, muss in die Monoschicht ein Antikörper bzw. ein Rezeptor integriert werden, welcher mit durch spezifische Wechselwirkung das entsprechende Antigen bindet. </w:t>
      </w:r>
      <w:r w:rsidR="001B4318">
        <w:t xml:space="preserve">Der Rezeptor kann durch </w:t>
      </w:r>
      <w:proofErr w:type="gramStart"/>
      <w:r w:rsidR="001B4318">
        <w:t>eine spezifische Protein-Protein</w:t>
      </w:r>
      <w:proofErr w:type="gramEnd"/>
      <w:r w:rsidR="001B4318">
        <w:t xml:space="preserve"> Interaktion (Ligand-Rezeptor WW) an der Monoschicht immobilisiert werden. Z.B. Bindung eines Proteins an einen Aktivester. An das Protein dann </w:t>
      </w:r>
      <w:proofErr w:type="spellStart"/>
      <w:r w:rsidR="001B4318">
        <w:t>IgG</w:t>
      </w:r>
      <w:proofErr w:type="spellEnd"/>
      <w:r w:rsidR="001B4318">
        <w:t xml:space="preserve"> binden.</w:t>
      </w:r>
    </w:p>
    <w:p w:rsidR="00471F16" w:rsidRDefault="00471F16" w:rsidP="00471F16">
      <w:pPr>
        <w:pStyle w:val="KeinLeerraum"/>
      </w:pPr>
    </w:p>
    <w:p w:rsidR="000105AF" w:rsidRDefault="007A64A0" w:rsidP="007A64A0">
      <w:pPr>
        <w:pStyle w:val="KeinLeerraum"/>
        <w:numPr>
          <w:ilvl w:val="0"/>
          <w:numId w:val="5"/>
        </w:numPr>
      </w:pPr>
      <w:r>
        <w:t xml:space="preserve">Welche Oberflächenfunktionalisierung einer Goldoberfläche würden Sie empfehlen, um eine möglichst dünne proteinabweisende Schicht aufzubauen? </w:t>
      </w:r>
    </w:p>
    <w:p w:rsidR="00471F16" w:rsidRDefault="007A64A0" w:rsidP="00471F16">
      <w:pPr>
        <w:pStyle w:val="KeinLeerraum"/>
        <w:ind w:left="360"/>
      </w:pPr>
      <w:r>
        <w:t>[</w:t>
      </w:r>
      <w:r w:rsidR="000105AF">
        <w:t>2 P</w:t>
      </w:r>
      <w:r>
        <w:t>]</w:t>
      </w:r>
    </w:p>
    <w:p w:rsidR="00471F16" w:rsidRDefault="00471F16" w:rsidP="00471F16">
      <w:pPr>
        <w:pStyle w:val="KeinLeerraum"/>
      </w:pPr>
    </w:p>
    <w:p w:rsidR="000105AF" w:rsidRDefault="00E543C3" w:rsidP="00B85ED9">
      <w:pPr>
        <w:pStyle w:val="KeinLeerraum"/>
        <w:ind w:left="360"/>
        <w:jc w:val="both"/>
      </w:pPr>
      <w:r>
        <w:t xml:space="preserve">Eine Proteinresistenz wird durch Zugabe von </w:t>
      </w:r>
      <w:proofErr w:type="spellStart"/>
      <w:r>
        <w:t>Oligo</w:t>
      </w:r>
      <w:proofErr w:type="spellEnd"/>
      <w:r>
        <w:t xml:space="preserve">- oder Polyethylenglykol erreicht. Die </w:t>
      </w:r>
      <w:proofErr w:type="spellStart"/>
      <w:r>
        <w:t>Konformation</w:t>
      </w:r>
      <w:proofErr w:type="spellEnd"/>
      <w:r>
        <w:t xml:space="preserve"> einer OEG oder PEG SAM mindert die Proteinadsorption. OEG-Thiole können durch die Thiolgruppe an die Goldoberfläche angebunden werden. Die Stärke der Proteinresistenz kann dann durch die Anzahl von </w:t>
      </w:r>
      <w:proofErr w:type="spellStart"/>
      <w:r>
        <w:t>Ethylenglykolgruppen</w:t>
      </w:r>
      <w:proofErr w:type="spellEnd"/>
      <w:r>
        <w:t xml:space="preserve"> variiert werden.</w:t>
      </w:r>
    </w:p>
    <w:p w:rsidR="00E543C3" w:rsidRDefault="00E543C3" w:rsidP="000105AF">
      <w:pPr>
        <w:pStyle w:val="KeinLeerraum"/>
      </w:pPr>
    </w:p>
    <w:p w:rsidR="0060224C" w:rsidRDefault="0060224C" w:rsidP="000105AF">
      <w:pPr>
        <w:pStyle w:val="KeinLeerraum"/>
      </w:pPr>
      <w:bookmarkStart w:id="0" w:name="_GoBack"/>
      <w:bookmarkEnd w:id="0"/>
    </w:p>
    <w:p w:rsidR="000105AF" w:rsidRDefault="000105AF" w:rsidP="000105AF">
      <w:pPr>
        <w:pStyle w:val="KeinLeerraum"/>
      </w:pPr>
      <w:r>
        <w:lastRenderedPageBreak/>
        <w:t>Aufgabe 6:</w:t>
      </w:r>
    </w:p>
    <w:p w:rsidR="000105AF" w:rsidRDefault="000105AF" w:rsidP="00B85ED9">
      <w:pPr>
        <w:pStyle w:val="KeinLeerraum"/>
        <w:jc w:val="both"/>
      </w:pPr>
      <w:r>
        <w:t xml:space="preserve">Man kann zwei Arten von </w:t>
      </w:r>
      <w:proofErr w:type="spellStart"/>
      <w:r>
        <w:t>Propfpolymerisation</w:t>
      </w:r>
      <w:proofErr w:type="spellEnd"/>
      <w:r>
        <w:t xml:space="preserve"> klar unterscheiden. Benennen und erläutern Sie diese und gehen Sie dabei auf die wesentli</w:t>
      </w:r>
      <w:r w:rsidR="00887347">
        <w:t xml:space="preserve">chen Unterscheidungsmerkmale der beiden Herangehensweisen ein. Gehen Sie dabei kurz darauf </w:t>
      </w:r>
      <w:proofErr w:type="spellStart"/>
      <w:r w:rsidR="00887347">
        <w:t>ei</w:t>
      </w:r>
      <w:proofErr w:type="spellEnd"/>
      <w:r w:rsidR="00887347">
        <w:t>, warum die maximal erreichbare Schichtdi</w:t>
      </w:r>
      <w:r w:rsidR="00B85ED9">
        <w:t>cke in einem Fall limitiert ist</w:t>
      </w:r>
      <w:r>
        <w:t>. [</w:t>
      </w:r>
      <w:r w:rsidR="00887347">
        <w:t>5 P</w:t>
      </w:r>
      <w:r>
        <w:t>]</w:t>
      </w:r>
    </w:p>
    <w:p w:rsidR="00471F16" w:rsidRDefault="00471F16" w:rsidP="00B85ED9">
      <w:pPr>
        <w:pStyle w:val="KeinLeerraum"/>
        <w:jc w:val="both"/>
      </w:pPr>
    </w:p>
    <w:p w:rsidR="00471F16" w:rsidRDefault="00790BE7" w:rsidP="00B85ED9">
      <w:pPr>
        <w:pStyle w:val="KeinLeerraum"/>
        <w:jc w:val="both"/>
      </w:pPr>
      <w:r>
        <w:t>Beim „</w:t>
      </w:r>
      <w:proofErr w:type="spellStart"/>
      <w:r>
        <w:t>grafting-to</w:t>
      </w:r>
      <w:proofErr w:type="spellEnd"/>
      <w:r>
        <w:t xml:space="preserve">“ kommt es zur. </w:t>
      </w:r>
      <w:proofErr w:type="spellStart"/>
      <w:r>
        <w:t>Chemisorption</w:t>
      </w:r>
      <w:proofErr w:type="spellEnd"/>
      <w:r>
        <w:t xml:space="preserve">. Polymergruppen reagieren mit geeigneten Stellen an der Oberfläche. Je nach Polymerkonzentration entstehen dünnere oder dickere Schichten. Die Polymere können eine funktionelle Endgruppe oder Seitengruppen haben und mit diesen an die Oberfläche binden. Die Schichtdicke ist durch die kinetische Limitierung auf 3-5nm begrenzt. Moleküle müssen an die Oberfläche diffundieren. Ist die Oberfläche schon dicht belegt, kommen sie nicht mehr durch. Durch die Polymerkonzentration ist die Schichtdicke bis zu einem gewissen Punkt beeinflussbar </w:t>
      </w:r>
      <w:r>
        <w:sym w:font="Wingdings" w:char="F0E0"/>
      </w:r>
      <w:r>
        <w:t xml:space="preserve"> höhere Konzentration größere Schichtdicke</w:t>
      </w:r>
    </w:p>
    <w:p w:rsidR="00790BE7" w:rsidRDefault="00790BE7" w:rsidP="00B85ED9">
      <w:pPr>
        <w:pStyle w:val="KeinLeerraum"/>
        <w:jc w:val="both"/>
      </w:pPr>
      <w:r>
        <w:t>Beim „</w:t>
      </w:r>
      <w:proofErr w:type="spellStart"/>
      <w:r>
        <w:t>grafting-from</w:t>
      </w:r>
      <w:proofErr w:type="spellEnd"/>
      <w:r>
        <w:t xml:space="preserve">“ wachsen Polymerketten von einer </w:t>
      </w:r>
      <w:proofErr w:type="spellStart"/>
      <w:r>
        <w:t>Initiatormonoschicht</w:t>
      </w:r>
      <w:proofErr w:type="spellEnd"/>
      <w:r>
        <w:t xml:space="preserve"> aus. Es findet an der Oberfläche eine Polymerisation weg von der Oberfläche aus statt. Nur das Monomer diffundiert zum Kettenende</w:t>
      </w:r>
      <w:r w:rsidR="00E87A50">
        <w:t xml:space="preserve">. Es entstehen Polymere mit sehr hohem Molekulargewicht und Schichtdicken von mehr als 2000nm Dicke sind möglich. An die Oberfläche bindet eine Ankergruppe und führt dadurch zur Immobilisation. An diesem Anker befindet sich noch eine Sollbruchstelle und danach der Initiator. Dort kann nun die Polymerisation beginnen. </w:t>
      </w:r>
    </w:p>
    <w:p w:rsidR="00E87A50" w:rsidRPr="00E87A50" w:rsidRDefault="00E87A50" w:rsidP="00B85ED9">
      <w:pPr>
        <w:pStyle w:val="KeinLeerraum"/>
        <w:jc w:val="both"/>
      </w:pPr>
      <w:r>
        <w:t xml:space="preserve">Anker: </w:t>
      </w:r>
      <w:proofErr w:type="spellStart"/>
      <w:r>
        <w:t>Chlorsilan</w:t>
      </w:r>
      <w:proofErr w:type="spellEnd"/>
      <w:r>
        <w:t xml:space="preserve"> (SiO</w:t>
      </w:r>
      <w:r>
        <w:rPr>
          <w:vertAlign w:val="subscript"/>
        </w:rPr>
        <w:t>2</w:t>
      </w:r>
      <w:r>
        <w:t xml:space="preserve">-OF), Disulfide (Gold-OF), </w:t>
      </w:r>
      <w:proofErr w:type="spellStart"/>
      <w:r>
        <w:t>Esthergruppe</w:t>
      </w:r>
      <w:proofErr w:type="spellEnd"/>
      <w:r>
        <w:t xml:space="preserve"> als break-seal Gruppe, AIBN-analoger Initiator</w:t>
      </w:r>
    </w:p>
    <w:sectPr w:rsidR="00E87A50" w:rsidRPr="00E87A5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966AA"/>
    <w:multiLevelType w:val="hybridMultilevel"/>
    <w:tmpl w:val="9EE66B1E"/>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0B6A1149"/>
    <w:multiLevelType w:val="hybridMultilevel"/>
    <w:tmpl w:val="8A509B6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11F77C1"/>
    <w:multiLevelType w:val="hybridMultilevel"/>
    <w:tmpl w:val="BB903C32"/>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47B6883"/>
    <w:multiLevelType w:val="hybridMultilevel"/>
    <w:tmpl w:val="62FA6B0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6A714AD7"/>
    <w:multiLevelType w:val="hybridMultilevel"/>
    <w:tmpl w:val="C938F16E"/>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B71"/>
    <w:rsid w:val="000105AF"/>
    <w:rsid w:val="00053C8B"/>
    <w:rsid w:val="000B43B8"/>
    <w:rsid w:val="000E0288"/>
    <w:rsid w:val="001B4318"/>
    <w:rsid w:val="001B6ABA"/>
    <w:rsid w:val="00227C7E"/>
    <w:rsid w:val="00233AE6"/>
    <w:rsid w:val="00343408"/>
    <w:rsid w:val="004544F7"/>
    <w:rsid w:val="00471F16"/>
    <w:rsid w:val="004B2959"/>
    <w:rsid w:val="005279B3"/>
    <w:rsid w:val="005D3275"/>
    <w:rsid w:val="005E2C59"/>
    <w:rsid w:val="0060224C"/>
    <w:rsid w:val="00754639"/>
    <w:rsid w:val="00790BE7"/>
    <w:rsid w:val="007A64A0"/>
    <w:rsid w:val="00826B71"/>
    <w:rsid w:val="00887347"/>
    <w:rsid w:val="008F4BA5"/>
    <w:rsid w:val="00A37644"/>
    <w:rsid w:val="00A71B7D"/>
    <w:rsid w:val="00A80E3F"/>
    <w:rsid w:val="00AB633C"/>
    <w:rsid w:val="00B14395"/>
    <w:rsid w:val="00B2281C"/>
    <w:rsid w:val="00B83A1F"/>
    <w:rsid w:val="00B85ED9"/>
    <w:rsid w:val="00B90822"/>
    <w:rsid w:val="00CA5AE5"/>
    <w:rsid w:val="00CA6DD8"/>
    <w:rsid w:val="00D92644"/>
    <w:rsid w:val="00D96CEE"/>
    <w:rsid w:val="00E142AE"/>
    <w:rsid w:val="00E44ACD"/>
    <w:rsid w:val="00E543C3"/>
    <w:rsid w:val="00E87A50"/>
    <w:rsid w:val="00F140D3"/>
    <w:rsid w:val="00F87252"/>
    <w:rsid w:val="00FB5050"/>
    <w:rsid w:val="00FF4E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2322"/>
  <w15:chartTrackingRefBased/>
  <w15:docId w15:val="{0350FD1F-226E-4783-83A8-FF497FB1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E44ACD"/>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F4E8E"/>
    <w:pPr>
      <w:spacing w:after="0" w:line="240" w:lineRule="auto"/>
    </w:pPr>
    <w:rPr>
      <w:rFonts w:ascii="Arial" w:hAnsi="Arial"/>
      <w:sz w:val="24"/>
    </w:rPr>
  </w:style>
  <w:style w:type="paragraph" w:styleId="Sprechblasentext">
    <w:name w:val="Balloon Text"/>
    <w:basedOn w:val="Standard"/>
    <w:link w:val="SprechblasentextZchn"/>
    <w:uiPriority w:val="99"/>
    <w:semiHidden/>
    <w:unhideWhenUsed/>
    <w:rsid w:val="0060224C"/>
    <w:pPr>
      <w:spacing w:after="0" w:line="240" w:lineRule="auto"/>
    </w:pPr>
    <w:rPr>
      <w:rFonts w:cs="Arial"/>
      <w:sz w:val="18"/>
      <w:szCs w:val="18"/>
    </w:rPr>
  </w:style>
  <w:style w:type="character" w:customStyle="1" w:styleId="SprechblasentextZchn">
    <w:name w:val="Sprechblasentext Zchn"/>
    <w:basedOn w:val="Absatz-Standardschriftart"/>
    <w:link w:val="Sprechblasentext"/>
    <w:uiPriority w:val="99"/>
    <w:semiHidden/>
    <w:rsid w:val="0060224C"/>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2367</Words>
  <Characters>14913</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Vornweg</dc:creator>
  <cp:keywords/>
  <dc:description/>
  <cp:lastModifiedBy>Rebecca Vornweg</cp:lastModifiedBy>
  <cp:revision>16</cp:revision>
  <cp:lastPrinted>2017-07-25T13:34:00Z</cp:lastPrinted>
  <dcterms:created xsi:type="dcterms:W3CDTF">2017-07-21T15:38:00Z</dcterms:created>
  <dcterms:modified xsi:type="dcterms:W3CDTF">2017-07-25T13:34:00Z</dcterms:modified>
</cp:coreProperties>
</file>