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4A38A5" w14:textId="3241D7A1" w:rsidR="001A599D" w:rsidRDefault="001A599D">
      <w:r>
        <w:t>Felix</w:t>
      </w:r>
    </w:p>
    <w:p w14:paraId="40BABEB2" w14:textId="46509C0C" w:rsidR="008E3997" w:rsidRDefault="008E3997">
      <w:r w:rsidRPr="008E3997">
        <w:t>Prof. Dr. rer. nat. Thomas Wieder</w:t>
      </w:r>
    </w:p>
    <w:p w14:paraId="40BABEB3" w14:textId="3BAFFD64" w:rsidR="008E3997" w:rsidRDefault="008E3997" w:rsidP="008E3997">
      <w:pPr>
        <w:pStyle w:val="berschrift1"/>
      </w:pPr>
      <w:r>
        <w:t>Endokrine Organe/Endokrinologie – Physiologie</w:t>
      </w:r>
      <w:r w:rsidR="00763C0C">
        <w:t xml:space="preserve"> </w:t>
      </w:r>
      <w:r w:rsidR="00BC4A52">
        <w:t>2</w:t>
      </w:r>
    </w:p>
    <w:p w14:paraId="3B7DB8CF" w14:textId="158B2E45" w:rsidR="003043E9" w:rsidRPr="003043E9" w:rsidRDefault="003043E9" w:rsidP="003043E9">
      <w:pPr>
        <w:pStyle w:val="berschrift2"/>
      </w:pPr>
      <w:r>
        <w:t>Hormone</w:t>
      </w:r>
    </w:p>
    <w:p w14:paraId="3EE5266F" w14:textId="28815DDF" w:rsidR="00527FDA" w:rsidRDefault="003D5529" w:rsidP="003043E9">
      <w:pPr>
        <w:pStyle w:val="berschrift3"/>
      </w:pPr>
      <w:r>
        <w:t>„</w:t>
      </w:r>
      <w:r w:rsidR="003043E9">
        <w:t>Wichtige Hormone, eine Übersicht</w:t>
      </w:r>
      <w:r>
        <w:t>“</w:t>
      </w:r>
    </w:p>
    <w:p w14:paraId="71D10637" w14:textId="4A454302" w:rsidR="003043E9" w:rsidRDefault="00F047CA" w:rsidP="003043E9">
      <w:r>
        <w:rPr>
          <w:noProof/>
          <w:lang w:eastAsia="de-DE"/>
        </w:rPr>
        <mc:AlternateContent>
          <mc:Choice Requires="wps">
            <w:drawing>
              <wp:anchor distT="45720" distB="45720" distL="114300" distR="114300" simplePos="0" relativeHeight="251660288" behindDoc="0" locked="0" layoutInCell="1" allowOverlap="1" wp14:anchorId="659852ED" wp14:editId="53BEE5D4">
                <wp:simplePos x="0" y="0"/>
                <wp:positionH relativeFrom="margin">
                  <wp:align>right</wp:align>
                </wp:positionH>
                <wp:positionV relativeFrom="paragraph">
                  <wp:posOffset>3381375</wp:posOffset>
                </wp:positionV>
                <wp:extent cx="1723390" cy="819150"/>
                <wp:effectExtent l="0" t="0" r="10160" b="1905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3390" cy="819150"/>
                        </a:xfrm>
                        <a:prstGeom prst="rect">
                          <a:avLst/>
                        </a:prstGeom>
                        <a:solidFill>
                          <a:srgbClr val="FFFFFF"/>
                        </a:solidFill>
                        <a:ln w="9525">
                          <a:solidFill>
                            <a:srgbClr val="000000"/>
                          </a:solidFill>
                          <a:miter lim="800000"/>
                          <a:headEnd/>
                          <a:tailEnd/>
                        </a:ln>
                      </wps:spPr>
                      <wps:txbx>
                        <w:txbxContent>
                          <w:p w14:paraId="2E68D4F8" w14:textId="203B03D5" w:rsidR="00740EE5" w:rsidRDefault="00740EE5">
                            <w:r>
                              <w:t>Catecholamine sind Hormone wie Adrenalin, Noradrenalin, Dopamin und deren Abkömmlinge.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9852ED" id="_x0000_t202" coordsize="21600,21600" o:spt="202" path="m,l,21600r21600,l21600,xe">
                <v:stroke joinstyle="miter"/>
                <v:path gradientshapeok="t" o:connecttype="rect"/>
              </v:shapetype>
              <v:shape id="Textfeld 2" o:spid="_x0000_s1026" type="#_x0000_t202" style="position:absolute;margin-left:84.5pt;margin-top:266.25pt;width:135.7pt;height:64.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">
                <v:textbox>
                  <w:txbxContent>
                    <w:p w14:paraId="2E68D4F8" w14:textId="203B03D5" w:rsidR="00740EE5" w:rsidRDefault="00740EE5">
                      <w:r>
                        <w:t>Catecholamine sind Hormone wie Adrenalin, Noradrenalin, Dopamin und deren Abkömmlinge.</w:t>
                      </w:r>
                    </w:p>
                  </w:txbxContent>
                </v:textbox>
                <w10:wrap type="square" anchorx="margin"/>
              </v:shape>
            </w:pict>
          </mc:Fallback>
        </mc:AlternateContent>
      </w:r>
      <w:r>
        <w:rPr>
          <w:noProof/>
          <w:lang w:eastAsia="de-DE"/>
        </w:rPr>
        <mc:AlternateContent>
          <mc:Choice Requires="wps">
            <w:drawing>
              <wp:anchor distT="45720" distB="45720" distL="114300" distR="114300" simplePos="0" relativeHeight="251662336" behindDoc="0" locked="0" layoutInCell="1" allowOverlap="1" wp14:anchorId="08570A3D" wp14:editId="14C308C7">
                <wp:simplePos x="0" y="0"/>
                <wp:positionH relativeFrom="margin">
                  <wp:align>right</wp:align>
                </wp:positionH>
                <wp:positionV relativeFrom="paragraph">
                  <wp:posOffset>1589405</wp:posOffset>
                </wp:positionV>
                <wp:extent cx="1713865" cy="1314450"/>
                <wp:effectExtent l="0" t="0" r="19685" b="19050"/>
                <wp:wrapSquare wrapText="bothSides"/>
                <wp:docPr id="1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3865" cy="1314450"/>
                        </a:xfrm>
                        <a:prstGeom prst="rect">
                          <a:avLst/>
                        </a:prstGeom>
                        <a:solidFill>
                          <a:srgbClr val="FFFFFF"/>
                        </a:solidFill>
                        <a:ln w="9525">
                          <a:solidFill>
                            <a:srgbClr val="000000"/>
                          </a:solidFill>
                          <a:miter lim="800000"/>
                          <a:headEnd/>
                          <a:tailEnd/>
                        </a:ln>
                      </wps:spPr>
                      <wps:txbx>
                        <w:txbxContent>
                          <w:p w14:paraId="73823B73" w14:textId="77777777" w:rsidR="00740EE5" w:rsidRDefault="00740EE5">
                            <w:r>
                              <w:t>Aminhormone sind Hormone, die sich von der Aminosäure Tyrosin ableiten.</w:t>
                            </w:r>
                          </w:p>
                          <w:p w14:paraId="294E4A7B" w14:textId="5515E9E9" w:rsidR="00740EE5" w:rsidRDefault="00740EE5">
                            <w:r>
                              <w:t>Tyrosinabkömmlinge = Aminhormone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570A3D" id="_x0000_s1027" type="#_x0000_t202" style="position:absolute;margin-left:83.75pt;margin-top:125.15pt;width:134.95pt;height:103.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">
                <v:textbox>
                  <w:txbxContent>
                    <w:p w14:paraId="73823B73" w14:textId="77777777" w:rsidR="00740EE5" w:rsidRDefault="00740EE5">
                      <w:r>
                        <w:t>Aminhormone sind Hormone, die sich von der Aminosäure Tyrosin ableiten.</w:t>
                      </w:r>
                    </w:p>
                    <w:p w14:paraId="294E4A7B" w14:textId="5515E9E9" w:rsidR="00740EE5" w:rsidRDefault="00740EE5">
                      <w:r>
                        <w:t>Tyrosinabkömmlinge = Aminhormone</w:t>
                      </w:r>
                    </w:p>
                  </w:txbxContent>
                </v:textbox>
                <w10:wrap type="square" anchorx="margin"/>
              </v:shape>
            </w:pict>
          </mc:Fallback>
        </mc:AlternateContent>
      </w:r>
      <w:r w:rsidR="003043E9">
        <w:rPr>
          <w:noProof/>
          <w:lang w:eastAsia="de-DE"/>
        </w:rPr>
        <w:drawing>
          <wp:inline distT="0" distB="0" distL="0" distR="0" wp14:anchorId="6DF52F8B" wp14:editId="68D3E230">
            <wp:extent cx="3876675" cy="4202294"/>
            <wp:effectExtent l="0" t="0" r="0" b="825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00541" cy="4228164"/>
                    </a:xfrm>
                    <a:prstGeom prst="rect">
                      <a:avLst/>
                    </a:prstGeom>
                  </pic:spPr>
                </pic:pic>
              </a:graphicData>
            </a:graphic>
          </wp:inline>
        </w:drawing>
      </w:r>
    </w:p>
    <w:p w14:paraId="69620468" w14:textId="5E28868E" w:rsidR="003043E9" w:rsidRDefault="00F047CA" w:rsidP="003043E9">
      <w:pPr>
        <w:pStyle w:val="berschrift3"/>
      </w:pPr>
      <w:r>
        <w:rPr>
          <w:noProof/>
          <w:lang w:eastAsia="de-DE"/>
        </w:rPr>
        <w:drawing>
          <wp:anchor distT="0" distB="0" distL="114300" distR="114300" simplePos="0" relativeHeight="251658240" behindDoc="1" locked="0" layoutInCell="1" allowOverlap="1" wp14:anchorId="4D9458CE" wp14:editId="62FE2247">
            <wp:simplePos x="0" y="0"/>
            <wp:positionH relativeFrom="margin">
              <wp:align>right</wp:align>
            </wp:positionH>
            <wp:positionV relativeFrom="paragraph">
              <wp:posOffset>184785</wp:posOffset>
            </wp:positionV>
            <wp:extent cx="1209040" cy="1731645"/>
            <wp:effectExtent l="0" t="0" r="0" b="1905"/>
            <wp:wrapTight wrapText="bothSides">
              <wp:wrapPolygon edited="0">
                <wp:start x="0" y="0"/>
                <wp:lineTo x="0" y="21386"/>
                <wp:lineTo x="21101" y="21386"/>
                <wp:lineTo x="21101" y="0"/>
                <wp:lineTo x="0" y="0"/>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209040" cy="1731645"/>
                    </a:xfrm>
                    <a:prstGeom prst="rect">
                      <a:avLst/>
                    </a:prstGeom>
                  </pic:spPr>
                </pic:pic>
              </a:graphicData>
            </a:graphic>
            <wp14:sizeRelH relativeFrom="margin">
              <wp14:pctWidth>0</wp14:pctWidth>
            </wp14:sizeRelH>
            <wp14:sizeRelV relativeFrom="margin">
              <wp14:pctHeight>0</wp14:pctHeight>
            </wp14:sizeRelV>
          </wp:anchor>
        </w:drawing>
      </w:r>
      <w:r w:rsidR="003043E9">
        <w:t xml:space="preserve">Prinzipien der </w:t>
      </w:r>
      <w:commentRangeStart w:id="0"/>
      <w:r w:rsidR="003043E9">
        <w:t>Hormonsynthese</w:t>
      </w:r>
      <w:commentRangeEnd w:id="0"/>
      <w:r w:rsidR="006C61C9">
        <w:rPr>
          <w:rStyle w:val="Kommentarzeichen"/>
          <w:rFonts w:asciiTheme="minorHAnsi" w:eastAsiaTheme="minorHAnsi" w:hAnsiTheme="minorHAnsi" w:cstheme="minorBidi"/>
          <w:color w:val="auto"/>
        </w:rPr>
        <w:commentReference w:id="0"/>
      </w:r>
    </w:p>
    <w:p w14:paraId="1DFCD3EF" w14:textId="47CD4E44" w:rsidR="003043E9" w:rsidRDefault="003043E9" w:rsidP="003043E9">
      <w:pPr>
        <w:pStyle w:val="berschrift4"/>
        <w:numPr>
          <w:ilvl w:val="0"/>
          <w:numId w:val="14"/>
        </w:numPr>
      </w:pPr>
      <w:r>
        <w:t>Peptidhormone</w:t>
      </w:r>
    </w:p>
    <w:p w14:paraId="17583FA8" w14:textId="1F60D34D" w:rsidR="003043E9" w:rsidRDefault="003043E9" w:rsidP="003043E9">
      <w:r>
        <w:t>Peptidbiosynthese durch Expression des entsprechenden Gens</w:t>
      </w:r>
    </w:p>
    <w:p w14:paraId="13D239AF" w14:textId="5DA12F59" w:rsidR="003043E9" w:rsidRDefault="003043E9" w:rsidP="003043E9">
      <w:pPr>
        <w:pStyle w:val="berschrift4"/>
        <w:numPr>
          <w:ilvl w:val="0"/>
          <w:numId w:val="14"/>
        </w:numPr>
      </w:pPr>
      <w:r>
        <w:t>Tyrosinabkömmlinge</w:t>
      </w:r>
      <w:r w:rsidR="00740EE5">
        <w:t xml:space="preserve"> (Catecholamine und Schilddrüsenh.)</w:t>
      </w:r>
    </w:p>
    <w:p w14:paraId="11A36E9D" w14:textId="0F08B66B" w:rsidR="003043E9" w:rsidRDefault="003043E9" w:rsidP="003043E9">
      <w:r>
        <w:t>Enzymatisch aus Vorläufern</w:t>
      </w:r>
    </w:p>
    <w:p w14:paraId="4AD1FCC0" w14:textId="0AC4E03E" w:rsidR="003043E9" w:rsidRDefault="003043E9" w:rsidP="003043E9">
      <w:pPr>
        <w:pStyle w:val="berschrift4"/>
        <w:numPr>
          <w:ilvl w:val="0"/>
          <w:numId w:val="14"/>
        </w:numPr>
      </w:pPr>
      <w:r>
        <w:t>Steroidhormone</w:t>
      </w:r>
    </w:p>
    <w:p w14:paraId="6D4CEDA9" w14:textId="4B73CE06" w:rsidR="003043E9" w:rsidRDefault="003043E9" w:rsidP="003043E9">
      <w:r>
        <w:t>Enzymatisch aus Cholesterin</w:t>
      </w:r>
    </w:p>
    <w:p w14:paraId="2F01860C" w14:textId="2FF206BB" w:rsidR="000565D3" w:rsidRDefault="000565D3" w:rsidP="003043E9">
      <w:r>
        <w:t>Synthese der meisten Hormone im ER, Speicherung in Sekretgranula. Ausnahmen: Schilddrüsen- und Steroidhormone verteilen sich über Diffusion.</w:t>
      </w:r>
    </w:p>
    <w:p w14:paraId="45E68158" w14:textId="3F5FEA93" w:rsidR="00F047CA" w:rsidRDefault="00F047CA" w:rsidP="003043E9">
      <w:r>
        <w:t>Aus der Zelle auszuschleusende Hormone haben immer Signalketten, die in weiteren Schritten entfernt werden. Z.B. Insulin hat zwei Vorstufen: Präproinsulin und Proinsulin.</w:t>
      </w:r>
    </w:p>
    <w:p w14:paraId="3A55C58F" w14:textId="4667415F" w:rsidR="006C61C9" w:rsidRDefault="006C61C9" w:rsidP="00897EBD">
      <w:pPr>
        <w:pStyle w:val="berschrift4"/>
      </w:pPr>
      <w:r>
        <w:t>Beispiel: Transgene Mäuse</w:t>
      </w:r>
    </w:p>
    <w:p w14:paraId="2847CB2D" w14:textId="37E250E6" w:rsidR="006C61C9" w:rsidRPr="006C61C9" w:rsidRDefault="006C61C9" w:rsidP="006C61C9">
      <w:r>
        <w:t>Auch durch die Synthesekette ergeben sich therapeutische Möglichkeiten. In einer Studie wurden bei Mäusen bestimmte Gene blockiert, was zu einer Überexpression von Wachstumshormon führte. Die veränderten Mäuse wuchsen wesentlich schneller und wurden größer als die Kontrollgruppe.</w:t>
      </w:r>
    </w:p>
    <w:p w14:paraId="6189A9FB" w14:textId="1A4846B6" w:rsidR="00897EBD" w:rsidRDefault="0001750E" w:rsidP="00897EBD">
      <w:pPr>
        <w:pStyle w:val="berschrift3"/>
      </w:pPr>
      <w:r>
        <w:rPr>
          <w:noProof/>
          <w:lang w:eastAsia="de-DE"/>
        </w:rPr>
        <w:lastRenderedPageBreak/>
        <mc:AlternateContent>
          <mc:Choice Requires="wps">
            <w:drawing>
              <wp:anchor distT="45720" distB="45720" distL="114300" distR="114300" simplePos="0" relativeHeight="251666432" behindDoc="0" locked="0" layoutInCell="1" allowOverlap="1" wp14:anchorId="52F31571" wp14:editId="2D8CE92F">
                <wp:simplePos x="0" y="0"/>
                <wp:positionH relativeFrom="margin">
                  <wp:align>right</wp:align>
                </wp:positionH>
                <wp:positionV relativeFrom="paragraph">
                  <wp:posOffset>1862455</wp:posOffset>
                </wp:positionV>
                <wp:extent cx="1741805" cy="1152525"/>
                <wp:effectExtent l="0" t="0" r="10795" b="28575"/>
                <wp:wrapSquare wrapText="bothSides"/>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1805" cy="1152525"/>
                        </a:xfrm>
                        <a:prstGeom prst="rect">
                          <a:avLst/>
                        </a:prstGeom>
                        <a:solidFill>
                          <a:srgbClr val="FFFFFF"/>
                        </a:solidFill>
                        <a:ln w="9525">
                          <a:solidFill>
                            <a:srgbClr val="000000"/>
                          </a:solidFill>
                          <a:miter lim="800000"/>
                          <a:headEnd/>
                          <a:tailEnd/>
                        </a:ln>
                      </wps:spPr>
                      <wps:txbx>
                        <w:txbxContent>
                          <w:p w14:paraId="79019F4F" w14:textId="77777777" w:rsidR="004E3E2F" w:rsidRDefault="0001750E">
                            <w:r>
                              <w:t xml:space="preserve">HPLC: </w:t>
                            </w:r>
                          </w:p>
                          <w:p w14:paraId="441427C5" w14:textId="1D30C433" w:rsidR="0001750E" w:rsidRDefault="0001750E">
                            <w:r>
                              <w:t>High Performance Liquid Chromatography (Hochdruckflüssigkeitschro</w:t>
                            </w:r>
                            <w:r w:rsidR="004E3E2F">
                              <w:t>-</w:t>
                            </w:r>
                            <w:r>
                              <w:t>matographie)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F31571" id="_x0000_s1028" type="#_x0000_t202" style="position:absolute;margin-left:85.95pt;margin-top:146.65pt;width:137.15pt;height:90.7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">
                <v:textbox>
                  <w:txbxContent>
                    <w:p w14:paraId="79019F4F" w14:textId="77777777" w:rsidR="004E3E2F" w:rsidRDefault="0001750E">
                      <w:r>
                        <w:t xml:space="preserve">HPLC: </w:t>
                      </w:r>
                    </w:p>
                    <w:p w14:paraId="441427C5" w14:textId="1D30C433" w:rsidR="0001750E" w:rsidRDefault="0001750E">
                      <w:r>
                        <w:t>High Performance Liquid Chromatography (Hochdruckflüssigkeitschro</w:t>
                      </w:r>
                      <w:r w:rsidR="004E3E2F">
                        <w:t>-</w:t>
                      </w:r>
                      <w:r>
                        <w:t>matographie)</w:t>
                      </w:r>
                    </w:p>
                  </w:txbxContent>
                </v:textbox>
                <w10:wrap type="square" anchorx="margin"/>
              </v:shape>
            </w:pict>
          </mc:Fallback>
        </mc:AlternateContent>
      </w:r>
      <w:r w:rsidR="00897EBD">
        <w:t>Hormontransport/Halbwertszeit/Nachweis</w:t>
      </w:r>
    </w:p>
    <w:tbl>
      <w:tblPr>
        <w:tblStyle w:val="Tabellenraster"/>
        <w:tblW w:w="0" w:type="auto"/>
        <w:tblLayout w:type="fixed"/>
        <w:tblLook w:val="04A0" w:firstRow="1" w:lastRow="0" w:firstColumn="1" w:lastColumn="0" w:noHBand="0" w:noVBand="1"/>
      </w:tblPr>
      <w:tblGrid>
        <w:gridCol w:w="1838"/>
        <w:gridCol w:w="2126"/>
        <w:gridCol w:w="1701"/>
        <w:gridCol w:w="3397"/>
      </w:tblGrid>
      <w:tr w:rsidR="00740EE5" w14:paraId="3951C4F8" w14:textId="77777777" w:rsidTr="00740EE5">
        <w:tc>
          <w:tcPr>
            <w:tcW w:w="1838" w:type="dxa"/>
          </w:tcPr>
          <w:p w14:paraId="7226CDDF" w14:textId="1D85F399" w:rsidR="00897EBD" w:rsidRDefault="00897EBD" w:rsidP="00897EBD">
            <w:r>
              <w:t>Hormonklasse</w:t>
            </w:r>
          </w:p>
        </w:tc>
        <w:tc>
          <w:tcPr>
            <w:tcW w:w="2126" w:type="dxa"/>
          </w:tcPr>
          <w:p w14:paraId="55B4D11B" w14:textId="36DEE968" w:rsidR="00897EBD" w:rsidRDefault="00897EBD" w:rsidP="00897EBD">
            <w:r>
              <w:t>Transport</w:t>
            </w:r>
          </w:p>
        </w:tc>
        <w:tc>
          <w:tcPr>
            <w:tcW w:w="1701" w:type="dxa"/>
          </w:tcPr>
          <w:p w14:paraId="14C6E4A2" w14:textId="20AD16CC" w:rsidR="00897EBD" w:rsidRDefault="00897EBD" w:rsidP="00897EBD">
            <w:r>
              <w:t>Halbwertszeit</w:t>
            </w:r>
          </w:p>
        </w:tc>
        <w:tc>
          <w:tcPr>
            <w:tcW w:w="3397" w:type="dxa"/>
          </w:tcPr>
          <w:p w14:paraId="2D3DDCF1" w14:textId="2B5045AF" w:rsidR="00897EBD" w:rsidRDefault="00897EBD" w:rsidP="00897EBD">
            <w:r>
              <w:t>Nachweis</w:t>
            </w:r>
          </w:p>
        </w:tc>
      </w:tr>
      <w:tr w:rsidR="00740EE5" w14:paraId="30F2CC92" w14:textId="77777777" w:rsidTr="00740EE5">
        <w:tc>
          <w:tcPr>
            <w:tcW w:w="1838" w:type="dxa"/>
          </w:tcPr>
          <w:p w14:paraId="10FE3982" w14:textId="418E1F8B" w:rsidR="00897EBD" w:rsidRDefault="00897EBD" w:rsidP="00897EBD">
            <w:r>
              <w:t>Peptidhormone</w:t>
            </w:r>
          </w:p>
        </w:tc>
        <w:tc>
          <w:tcPr>
            <w:tcW w:w="2126" w:type="dxa"/>
          </w:tcPr>
          <w:p w14:paraId="03F0FAC9" w14:textId="59700053" w:rsidR="00897EBD" w:rsidRDefault="00897EBD" w:rsidP="00897EBD">
            <w:r>
              <w:t>Meist frei</w:t>
            </w:r>
          </w:p>
        </w:tc>
        <w:tc>
          <w:tcPr>
            <w:tcW w:w="1701" w:type="dxa"/>
          </w:tcPr>
          <w:p w14:paraId="4ED19A3B" w14:textId="38C96617" w:rsidR="00897EBD" w:rsidRDefault="00897EBD" w:rsidP="00897EBD">
            <w:r>
              <w:t>Minuten bis Stunden</w:t>
            </w:r>
          </w:p>
        </w:tc>
        <w:tc>
          <w:tcPr>
            <w:tcW w:w="3397" w:type="dxa"/>
          </w:tcPr>
          <w:p w14:paraId="5A169F86" w14:textId="215E5673" w:rsidR="00897EBD" w:rsidRDefault="00897EBD" w:rsidP="00897EBD">
            <w:r>
              <w:t>Immunologischer Nachweis: ELISA, RIA</w:t>
            </w:r>
          </w:p>
        </w:tc>
      </w:tr>
      <w:tr w:rsidR="00740EE5" w14:paraId="4A920603" w14:textId="77777777" w:rsidTr="00740EE5">
        <w:tc>
          <w:tcPr>
            <w:tcW w:w="1838" w:type="dxa"/>
          </w:tcPr>
          <w:p w14:paraId="6D9EBE4D" w14:textId="3B27484E" w:rsidR="00897EBD" w:rsidRDefault="00897EBD" w:rsidP="00897EBD">
            <w:r>
              <w:t>Catecholamine</w:t>
            </w:r>
          </w:p>
        </w:tc>
        <w:tc>
          <w:tcPr>
            <w:tcW w:w="2126" w:type="dxa"/>
          </w:tcPr>
          <w:p w14:paraId="7DF771D3" w14:textId="67FADBB6" w:rsidR="00897EBD" w:rsidRDefault="00897EBD" w:rsidP="00897EBD">
            <w:r>
              <w:t>Meist frei</w:t>
            </w:r>
          </w:p>
        </w:tc>
        <w:tc>
          <w:tcPr>
            <w:tcW w:w="1701" w:type="dxa"/>
          </w:tcPr>
          <w:p w14:paraId="18D6B48D" w14:textId="2D0BDBC2" w:rsidR="00897EBD" w:rsidRDefault="00897EBD" w:rsidP="00897EBD">
            <w:r>
              <w:t>Sekunden bis Minuten</w:t>
            </w:r>
          </w:p>
        </w:tc>
        <w:tc>
          <w:tcPr>
            <w:tcW w:w="3397" w:type="dxa"/>
          </w:tcPr>
          <w:p w14:paraId="7FD9334D" w14:textId="3AFA7AB7" w:rsidR="00897EBD" w:rsidRDefault="00897EBD" w:rsidP="00897EBD">
            <w:r>
              <w:t>HPLC mit chemischer Detektion</w:t>
            </w:r>
          </w:p>
        </w:tc>
      </w:tr>
      <w:tr w:rsidR="00740EE5" w14:paraId="2E85A558" w14:textId="77777777" w:rsidTr="00740EE5">
        <w:tc>
          <w:tcPr>
            <w:tcW w:w="1838" w:type="dxa"/>
          </w:tcPr>
          <w:p w14:paraId="5EFD7070" w14:textId="0409D7E1" w:rsidR="00897EBD" w:rsidRDefault="00897EBD" w:rsidP="00897EBD">
            <w:r>
              <w:t>Schilddrüsenhormone</w:t>
            </w:r>
          </w:p>
        </w:tc>
        <w:tc>
          <w:tcPr>
            <w:tcW w:w="2126" w:type="dxa"/>
          </w:tcPr>
          <w:p w14:paraId="3BCF603D" w14:textId="7CC527D3" w:rsidR="00897EBD" w:rsidRDefault="00897EBD" w:rsidP="00897EBD">
            <w:r>
              <w:t>Gebunden an Transportproteine</w:t>
            </w:r>
          </w:p>
        </w:tc>
        <w:tc>
          <w:tcPr>
            <w:tcW w:w="1701" w:type="dxa"/>
          </w:tcPr>
          <w:p w14:paraId="1DABDF0D" w14:textId="3295B912" w:rsidR="00897EBD" w:rsidRDefault="00897EBD" w:rsidP="00897EBD">
            <w:r>
              <w:t>Tage</w:t>
            </w:r>
          </w:p>
        </w:tc>
        <w:tc>
          <w:tcPr>
            <w:tcW w:w="3397" w:type="dxa"/>
          </w:tcPr>
          <w:p w14:paraId="6598B5DC" w14:textId="07CE815A" w:rsidR="00897EBD" w:rsidRDefault="00897EBD" w:rsidP="00897EBD">
            <w:r>
              <w:t>Chemilumineszenz-Immunoassay</w:t>
            </w:r>
          </w:p>
        </w:tc>
      </w:tr>
      <w:tr w:rsidR="00897EBD" w14:paraId="5AFB6DDE" w14:textId="77777777" w:rsidTr="00740EE5">
        <w:tc>
          <w:tcPr>
            <w:tcW w:w="1838" w:type="dxa"/>
          </w:tcPr>
          <w:p w14:paraId="4C79195D" w14:textId="7AB2C113" w:rsidR="00897EBD" w:rsidRDefault="00897EBD" w:rsidP="00897EBD">
            <w:r>
              <w:t>Steroidhormone</w:t>
            </w:r>
          </w:p>
        </w:tc>
        <w:tc>
          <w:tcPr>
            <w:tcW w:w="2126" w:type="dxa"/>
          </w:tcPr>
          <w:p w14:paraId="5CCEE7EA" w14:textId="63EF45F6" w:rsidR="00897EBD" w:rsidRDefault="00897EBD" w:rsidP="00897EBD">
            <w:r>
              <w:t>Gebunden an Transportproteine</w:t>
            </w:r>
          </w:p>
        </w:tc>
        <w:tc>
          <w:tcPr>
            <w:tcW w:w="1701" w:type="dxa"/>
          </w:tcPr>
          <w:p w14:paraId="08A3E1C4" w14:textId="6D5BC9A1" w:rsidR="00897EBD" w:rsidRDefault="00897EBD" w:rsidP="00897EBD">
            <w:r>
              <w:t>Stunden bis Tage</w:t>
            </w:r>
          </w:p>
        </w:tc>
        <w:tc>
          <w:tcPr>
            <w:tcW w:w="3397" w:type="dxa"/>
          </w:tcPr>
          <w:p w14:paraId="1218C2F2" w14:textId="75530877" w:rsidR="00897EBD" w:rsidRDefault="00897EBD" w:rsidP="00897EBD">
            <w:r>
              <w:t>Chemilumineszenz-Immunoassay</w:t>
            </w:r>
          </w:p>
        </w:tc>
      </w:tr>
    </w:tbl>
    <w:p w14:paraId="321E8860" w14:textId="3F7C2FF3" w:rsidR="0001750E" w:rsidRDefault="0001750E" w:rsidP="00897EBD">
      <w:r>
        <w:rPr>
          <w:noProof/>
          <w:lang w:eastAsia="de-DE"/>
        </w:rPr>
        <mc:AlternateContent>
          <mc:Choice Requires="wps">
            <w:drawing>
              <wp:anchor distT="45720" distB="45720" distL="114300" distR="114300" simplePos="0" relativeHeight="251664384" behindDoc="0" locked="0" layoutInCell="1" allowOverlap="1" wp14:anchorId="2EB3DF9C" wp14:editId="7C03CDCE">
                <wp:simplePos x="0" y="0"/>
                <wp:positionH relativeFrom="margin">
                  <wp:align>left</wp:align>
                </wp:positionH>
                <wp:positionV relativeFrom="paragraph">
                  <wp:posOffset>79375</wp:posOffset>
                </wp:positionV>
                <wp:extent cx="3762375" cy="1885950"/>
                <wp:effectExtent l="0" t="0" r="28575" b="19050"/>
                <wp:wrapSquare wrapText="bothSides"/>
                <wp:docPr id="1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1885950"/>
                        </a:xfrm>
                        <a:prstGeom prst="rect">
                          <a:avLst/>
                        </a:prstGeom>
                        <a:solidFill>
                          <a:srgbClr val="FFFFFF"/>
                        </a:solidFill>
                        <a:ln w="9525">
                          <a:solidFill>
                            <a:srgbClr val="000000"/>
                          </a:solidFill>
                          <a:miter lim="800000"/>
                          <a:headEnd/>
                          <a:tailEnd/>
                        </a:ln>
                      </wps:spPr>
                      <wps:txbx>
                        <w:txbxContent>
                          <w:p w14:paraId="7A8894D8" w14:textId="300B9071" w:rsidR="0001750E" w:rsidRDefault="0001750E">
                            <w:r>
                              <w:t>Immunassays oder immunologische Nachweise:</w:t>
                            </w:r>
                          </w:p>
                          <w:p w14:paraId="2A99A227" w14:textId="39EC0F16" w:rsidR="0001750E" w:rsidRDefault="0001750E">
                            <w:r>
                              <w:t>Ein abgestimmter Antikörper bindet an das quantitativ zu untersuchende Substrat (in diesem Fall Hormon). Dieser Antikörper oder ein weiterer Antikörper sind mit etwas verbunden, was sich einfach quantitativ messen lässt. Z.B. ein radioaktives Isotop (RIA - Radioimmunoassay), ein Enzym, das einen Farbstoff aktiviert (ELISA – Enzyme-Linked Immunosorbent Assay) oder Chemilumineszenz verursacht („Leuchten“) (Chemilumineszenz-Immunoassay).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B3DF9C" id="_x0000_s1029" type="#_x0000_t202" style="position:absolute;margin-left:0;margin-top:6.25pt;width:296.25pt;height:148.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">
                <v:textbox>
                  <w:txbxContent>
                    <w:p w14:paraId="7A8894D8" w14:textId="300B9071" w:rsidR="0001750E" w:rsidRDefault="0001750E">
                      <w:r>
                        <w:t>Immunassays oder immunologische Nachweise:</w:t>
                      </w:r>
                    </w:p>
                    <w:p w14:paraId="2A99A227" w14:textId="39EC0F16" w:rsidR="0001750E" w:rsidRDefault="0001750E">
                      <w:r>
                        <w:t>Ein abgestimmter Antikörper bindet an das quantitativ zu untersuchende Substrat (in diesem Fall Hormon). Dieser Antikörper oder ein weiterer Antikörper sind mit etwas verbunden, was sich einfach quantitativ messen lässt. Z.B. ein radioaktives Isotop (RIA - Radioimmunoassay), ein Enzym, das einen Farbstoff aktiviert (ELISA – Enzyme-Linked Immunosorbent Assay) oder Chemilumineszenz verursacht („Leuchten“) (Chemilumineszenz-Immunoassay).</w:t>
                      </w:r>
                    </w:p>
                  </w:txbxContent>
                </v:textbox>
                <w10:wrap type="square" anchorx="margin"/>
              </v:shape>
            </w:pict>
          </mc:Fallback>
        </mc:AlternateContent>
      </w:r>
    </w:p>
    <w:p w14:paraId="6FDC4675" w14:textId="262B5C95" w:rsidR="0001750E" w:rsidRDefault="0001750E" w:rsidP="00897EBD"/>
    <w:p w14:paraId="7271E108" w14:textId="5F720FDF" w:rsidR="00D41928" w:rsidRDefault="00D41928" w:rsidP="00897EBD">
      <w:bookmarkStart w:id="1" w:name="_GoBack"/>
      <w:bookmarkEnd w:id="1"/>
    </w:p>
    <w:p w14:paraId="12BCA342" w14:textId="5E9976EE" w:rsidR="00897EBD" w:rsidRDefault="004E3E2F" w:rsidP="00897EBD">
      <w:r>
        <w:rPr>
          <w:noProof/>
          <w:lang w:eastAsia="de-DE"/>
        </w:rPr>
        <mc:AlternateContent>
          <mc:Choice Requires="wps">
            <w:drawing>
              <wp:anchor distT="45720" distB="45720" distL="114300" distR="114300" simplePos="0" relativeHeight="251668480" behindDoc="0" locked="0" layoutInCell="1" allowOverlap="1" wp14:anchorId="6A40B112" wp14:editId="4D47C5FF">
                <wp:simplePos x="0" y="0"/>
                <wp:positionH relativeFrom="margin">
                  <wp:align>left</wp:align>
                </wp:positionH>
                <wp:positionV relativeFrom="paragraph">
                  <wp:posOffset>144145</wp:posOffset>
                </wp:positionV>
                <wp:extent cx="4638675" cy="1047750"/>
                <wp:effectExtent l="0" t="0" r="28575" b="19050"/>
                <wp:wrapSquare wrapText="bothSides"/>
                <wp:docPr id="1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047750"/>
                        </a:xfrm>
                        <a:prstGeom prst="rect">
                          <a:avLst/>
                        </a:prstGeom>
                        <a:solidFill>
                          <a:srgbClr val="FFFFFF"/>
                        </a:solidFill>
                        <a:ln w="9525">
                          <a:solidFill>
                            <a:srgbClr val="000000"/>
                          </a:solidFill>
                          <a:miter lim="800000"/>
                          <a:headEnd/>
                          <a:tailEnd/>
                        </a:ln>
                      </wps:spPr>
                      <wps:txbx>
                        <w:txbxContent>
                          <w:p w14:paraId="50706EBF" w14:textId="0AF1CAE6" w:rsidR="004E3E2F" w:rsidRDefault="004E3E2F">
                            <w:r>
                              <w:t>Biologische Halbwertszeit:</w:t>
                            </w:r>
                          </w:p>
                          <w:p w14:paraId="1E5701EE" w14:textId="1E4DF63C" w:rsidR="004E3E2F" w:rsidRDefault="004E3E2F">
                            <w:r>
                              <w:t>Zeitspanne, in der in einem Organismus der Gehalt einer inkorporierten Substanz auf die Hälfte gesunken ist.</w:t>
                            </w:r>
                          </w:p>
                          <w:p w14:paraId="72E38ABA" w14:textId="2FEC2E98" w:rsidR="004E3E2F" w:rsidRDefault="004E3E2F">
                            <w:r>
                              <w:t>Mehrere beteiligte Prozesse: Stoffwechsel, Ausscheidung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0B112" id="_x0000_s1030" type="#_x0000_t202" style="position:absolute;margin-left:0;margin-top:11.35pt;width:365.25pt;height:82.5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">
                <v:textbox>
                  <w:txbxContent>
                    <w:p w14:paraId="50706EBF" w14:textId="0AF1CAE6" w:rsidR="004E3E2F" w:rsidRDefault="004E3E2F">
                      <w:r>
                        <w:t>Biologische Halbwertszeit:</w:t>
                      </w:r>
                    </w:p>
                    <w:p w14:paraId="1E5701EE" w14:textId="1E4DF63C" w:rsidR="004E3E2F" w:rsidRDefault="004E3E2F">
                      <w:r>
                        <w:t>Zeitspanne, in der in einem Organismus der Gehalt einer inkorporierten Substanz auf die Hälfte gesunken ist.</w:t>
                      </w:r>
                    </w:p>
                    <w:p w14:paraId="72E38ABA" w14:textId="2FEC2E98" w:rsidR="004E3E2F" w:rsidRDefault="004E3E2F">
                      <w:r>
                        <w:t>Mehrere beteiligte Prozesse: Stoffwechsel, Ausscheidung etc.</w:t>
                      </w:r>
                    </w:p>
                  </w:txbxContent>
                </v:textbox>
                <w10:wrap type="square" anchorx="margin"/>
              </v:shape>
            </w:pict>
          </mc:Fallback>
        </mc:AlternateContent>
      </w:r>
    </w:p>
    <w:p w14:paraId="4A991456" w14:textId="19B79EDF" w:rsidR="004E3E2F" w:rsidRDefault="004E3E2F" w:rsidP="00897EBD"/>
    <w:p w14:paraId="2CE5BC3A" w14:textId="346A80DC" w:rsidR="004E3E2F" w:rsidRDefault="004E3E2F" w:rsidP="00897EBD"/>
    <w:p w14:paraId="147E8AA6" w14:textId="7F42690C" w:rsidR="004E3E2F" w:rsidRDefault="004E3E2F" w:rsidP="00897EBD"/>
    <w:p w14:paraId="16D61627" w14:textId="75717C9D" w:rsidR="004E3E2F" w:rsidRDefault="004E3E2F" w:rsidP="00897EBD"/>
    <w:p w14:paraId="3012BD0C" w14:textId="50718B81" w:rsidR="004E3E2F" w:rsidRDefault="004E3E2F" w:rsidP="004E3E2F">
      <w:pPr>
        <w:pStyle w:val="berschrift3"/>
      </w:pPr>
      <w:r>
        <w:t>Hormonabbau</w:t>
      </w:r>
    </w:p>
    <w:p w14:paraId="3E2F6E04" w14:textId="5F27B741" w:rsidR="004E3E2F" w:rsidRDefault="00762B1B" w:rsidP="00762B1B">
      <w:pPr>
        <w:pStyle w:val="berschrift4"/>
        <w:numPr>
          <w:ilvl w:val="0"/>
          <w:numId w:val="16"/>
        </w:numPr>
      </w:pPr>
      <w:r>
        <w:t>Peptidhormone</w:t>
      </w:r>
    </w:p>
    <w:p w14:paraId="515C8475" w14:textId="5B2C5C5E" w:rsidR="00762B1B" w:rsidRDefault="00762B1B" w:rsidP="00762B1B">
      <w:r>
        <w:t>Proteolyse in Plasma und Niere,</w:t>
      </w:r>
      <w:r>
        <w:br/>
        <w:t xml:space="preserve">Abbau durch Enzyme nach Bindung an Rezeptor, </w:t>
      </w:r>
      <w:r>
        <w:br/>
        <w:t>Internalisierung des Hormon-Rezeptor-Komplexes (Rezeptor-gesteuerte Endozytose)</w:t>
      </w:r>
    </w:p>
    <w:p w14:paraId="7BE13C1A" w14:textId="05C6E734" w:rsidR="00762B1B" w:rsidRDefault="00762B1B" w:rsidP="00762B1B">
      <w:pPr>
        <w:pStyle w:val="berschrift4"/>
        <w:numPr>
          <w:ilvl w:val="0"/>
          <w:numId w:val="16"/>
        </w:numPr>
      </w:pPr>
      <w:r>
        <w:t>Catecholamine</w:t>
      </w:r>
    </w:p>
    <w:p w14:paraId="77C077D3" w14:textId="7E1F6D3F" w:rsidR="00762B1B" w:rsidRDefault="00020930" w:rsidP="00762B1B">
      <w:r>
        <w:rPr>
          <w:noProof/>
          <w:lang w:eastAsia="de-DE"/>
        </w:rPr>
        <mc:AlternateContent>
          <mc:Choice Requires="wps">
            <w:drawing>
              <wp:anchor distT="45720" distB="45720" distL="114300" distR="114300" simplePos="0" relativeHeight="251672576" behindDoc="0" locked="0" layoutInCell="1" allowOverlap="1" wp14:anchorId="0DE0E717" wp14:editId="529BF7B1">
                <wp:simplePos x="0" y="0"/>
                <wp:positionH relativeFrom="margin">
                  <wp:align>right</wp:align>
                </wp:positionH>
                <wp:positionV relativeFrom="paragraph">
                  <wp:posOffset>469265</wp:posOffset>
                </wp:positionV>
                <wp:extent cx="2360930" cy="1404620"/>
                <wp:effectExtent l="0" t="0" r="19685" b="13970"/>
                <wp:wrapSquare wrapText="bothSides"/>
                <wp:docPr id="1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FD04BE6" w14:textId="66EB6859" w:rsidR="00D41928" w:rsidRDefault="00D41928">
                            <w:r>
                              <w:t>Sulfatierung: Ankoppeln von Sulfat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E0E717" id="_x0000_s1031" type="#_x0000_t202" style="position:absolute;margin-left:134.7pt;margin-top:36.95pt;width:185.9pt;height:110.6pt;z-index:251672576;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">
                <v:textbox style="mso-fit-shape-to-text:t">
                  <w:txbxContent>
                    <w:p w14:paraId="7FD04BE6" w14:textId="66EB6859" w:rsidR="00D41928" w:rsidRDefault="00D41928">
                      <w:r>
                        <w:t>Sulfatierung: Ankoppeln von Sulfat</w:t>
                      </w:r>
                    </w:p>
                  </w:txbxContent>
                </v:textbox>
                <w10:wrap type="square" anchorx="margin"/>
              </v:shape>
            </w:pict>
          </mc:Fallback>
        </mc:AlternateContent>
      </w:r>
      <w:r w:rsidR="00D41928">
        <w:rPr>
          <w:noProof/>
          <w:lang w:eastAsia="de-DE"/>
        </w:rPr>
        <mc:AlternateContent>
          <mc:Choice Requires="wps">
            <w:drawing>
              <wp:anchor distT="45720" distB="45720" distL="114300" distR="114300" simplePos="0" relativeHeight="251670528" behindDoc="0" locked="0" layoutInCell="1" allowOverlap="1" wp14:anchorId="360F4A67" wp14:editId="603C72E3">
                <wp:simplePos x="0" y="0"/>
                <wp:positionH relativeFrom="margin">
                  <wp:align>right</wp:align>
                </wp:positionH>
                <wp:positionV relativeFrom="paragraph">
                  <wp:posOffset>7620</wp:posOffset>
                </wp:positionV>
                <wp:extent cx="2360930" cy="1404620"/>
                <wp:effectExtent l="0" t="0" r="19685" b="13970"/>
                <wp:wrapSquare wrapText="bothSides"/>
                <wp:docPr id="1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76F0875" w14:textId="386691FD" w:rsidR="00D41928" w:rsidRDefault="00D41928">
                            <w:r>
                              <w:t>Deiodierung: Entfernung von Iod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0F4A67" id="_x0000_s1032" type="#_x0000_t202" style="position:absolute;margin-left:134.7pt;margin-top:.6pt;width:185.9pt;height:110.6pt;z-index:25167052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">
                <v:textbox style="mso-fit-shape-to-text:t">
                  <w:txbxContent>
                    <w:p w14:paraId="376F0875" w14:textId="386691FD" w:rsidR="00D41928" w:rsidRDefault="00D41928">
                      <w:r>
                        <w:t>Deiodierung: Entfernung von Iod</w:t>
                      </w:r>
                    </w:p>
                  </w:txbxContent>
                </v:textbox>
                <w10:wrap type="square" anchorx="margin"/>
              </v:shape>
            </w:pict>
          </mc:Fallback>
        </mc:AlternateContent>
      </w:r>
      <w:r w:rsidR="00762B1B">
        <w:t>Enzymatischer Abbau in Sekunden bis Minuten</w:t>
      </w:r>
      <w:r>
        <w:t xml:space="preserve"> (verschiedene Enzyme und verschiedene Wege). Z.B. Plasmahalbwertszeit von Adrenalin nach intravenöser Gabe ca. 1 bis 3 Minuten.</w:t>
      </w:r>
    </w:p>
    <w:p w14:paraId="7F204BB3" w14:textId="72733CCF" w:rsidR="00762B1B" w:rsidRDefault="00020930" w:rsidP="00762B1B">
      <w:pPr>
        <w:pStyle w:val="berschrift4"/>
        <w:numPr>
          <w:ilvl w:val="0"/>
          <w:numId w:val="16"/>
        </w:numPr>
      </w:pPr>
      <w:r>
        <w:rPr>
          <w:noProof/>
          <w:lang w:eastAsia="de-DE"/>
        </w:rPr>
        <mc:AlternateContent>
          <mc:Choice Requires="wps">
            <w:drawing>
              <wp:anchor distT="45720" distB="45720" distL="114300" distR="114300" simplePos="0" relativeHeight="251674624" behindDoc="0" locked="0" layoutInCell="1" allowOverlap="1" wp14:anchorId="2AAD9087" wp14:editId="43E1B485">
                <wp:simplePos x="0" y="0"/>
                <wp:positionH relativeFrom="margin">
                  <wp:align>right</wp:align>
                </wp:positionH>
                <wp:positionV relativeFrom="paragraph">
                  <wp:posOffset>179705</wp:posOffset>
                </wp:positionV>
                <wp:extent cx="2360930" cy="1404620"/>
                <wp:effectExtent l="0" t="0" r="19685" b="20955"/>
                <wp:wrapSquare wrapText="bothSides"/>
                <wp:docPr id="1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BBD6DE9" w14:textId="44D73E37" w:rsidR="00D41928" w:rsidRDefault="00D41928">
                            <w:r>
                              <w:t>Glukoronidierung: Anbindung von Glucoronsäure. Erhöht Wasserlöslichkeit und ermöglicht</w:t>
                            </w:r>
                            <w:r w:rsidR="00020930">
                              <w:t>/erleichtert</w:t>
                            </w:r>
                            <w:r>
                              <w:t xml:space="preserve"> Ausscheidung über Niere.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AD9087" id="_x0000_s1033" type="#_x0000_t202" style="position:absolute;left:0;text-align:left;margin-left:134.7pt;margin-top:14.15pt;width:185.9pt;height:110.6pt;z-index:25167462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">
                <v:textbox style="mso-fit-shape-to-text:t">
                  <w:txbxContent>
                    <w:p w14:paraId="7BBD6DE9" w14:textId="44D73E37" w:rsidR="00D41928" w:rsidRDefault="00D41928">
                      <w:r>
                        <w:t>Glukoronidierung: Anbindung von Glucoronsäure. Erhöht Wasserlöslichkeit und ermöglicht</w:t>
                      </w:r>
                      <w:r w:rsidR="00020930">
                        <w:t>/erleichtert</w:t>
                      </w:r>
                      <w:r>
                        <w:t xml:space="preserve"> Ausscheidung über Niere.</w:t>
                      </w:r>
                    </w:p>
                  </w:txbxContent>
                </v:textbox>
                <w10:wrap type="square" anchorx="margin"/>
              </v:shape>
            </w:pict>
          </mc:Fallback>
        </mc:AlternateContent>
      </w:r>
      <w:r w:rsidR="00762B1B">
        <w:t>Schilddrüsenhormone</w:t>
      </w:r>
    </w:p>
    <w:p w14:paraId="643B44EE" w14:textId="03E48FF4" w:rsidR="00762B1B" w:rsidRDefault="00762B1B" w:rsidP="00762B1B">
      <w:r>
        <w:t>Abbau in der Leber/Niere</w:t>
      </w:r>
      <w:r w:rsidR="00D41928">
        <w:t xml:space="preserve"> (Deiodierung, Sulfatierung, Glukoronidierung)</w:t>
      </w:r>
    </w:p>
    <w:p w14:paraId="67DB0F59" w14:textId="3AB050B3" w:rsidR="00762B1B" w:rsidRDefault="00762B1B" w:rsidP="00762B1B">
      <w:pPr>
        <w:pStyle w:val="berschrift4"/>
        <w:numPr>
          <w:ilvl w:val="0"/>
          <w:numId w:val="16"/>
        </w:numPr>
      </w:pPr>
      <w:r>
        <w:t>Steroidhormone</w:t>
      </w:r>
    </w:p>
    <w:p w14:paraId="0FE3CE7A" w14:textId="398136FC" w:rsidR="00762B1B" w:rsidRDefault="00762B1B" w:rsidP="00762B1B">
      <w:r>
        <w:t>Abbau in der Leber/Niere</w:t>
      </w:r>
      <w:r w:rsidR="00D41928">
        <w:t xml:space="preserve"> (Sulfatierung, Glukoronidierung)</w:t>
      </w:r>
    </w:p>
    <w:p w14:paraId="7D2E3347" w14:textId="578594DE" w:rsidR="00020930" w:rsidRDefault="00020930">
      <w:r>
        <w:br w:type="page"/>
      </w:r>
    </w:p>
    <w:p w14:paraId="221B5A67" w14:textId="4CA4084E" w:rsidR="00020930" w:rsidRDefault="00A30BCC" w:rsidP="00A30BCC">
      <w:pPr>
        <w:pStyle w:val="berschrift3"/>
      </w:pPr>
      <w:r>
        <w:lastRenderedPageBreak/>
        <w:t>Prinizpien der Entspeicherung und Synthese-Aktivierung</w:t>
      </w:r>
    </w:p>
    <w:p w14:paraId="73A99AC9" w14:textId="7200EA67" w:rsidR="00A30BCC" w:rsidRDefault="00A30BCC" w:rsidP="00A30BCC">
      <w:pPr>
        <w:pStyle w:val="berschrift4"/>
        <w:numPr>
          <w:ilvl w:val="0"/>
          <w:numId w:val="18"/>
        </w:numPr>
      </w:pPr>
      <w:r>
        <w:t>Nervöse Reizung</w:t>
      </w:r>
    </w:p>
    <w:p w14:paraId="3452B907" w14:textId="444FFB69" w:rsidR="00A30BCC" w:rsidRDefault="00A30BCC" w:rsidP="00A30BCC">
      <w:r>
        <w:t>Elektrische Reizung der Zelle, Verschmelzung der Sekretgranula mit der Plasmamembran, Ausschüttung aus der Zelle</w:t>
      </w:r>
    </w:p>
    <w:p w14:paraId="6A727719" w14:textId="25A1029D" w:rsidR="00A30BCC" w:rsidRDefault="00A30BCC" w:rsidP="00A30BCC">
      <w:pPr>
        <w:pStyle w:val="berschrift4"/>
        <w:numPr>
          <w:ilvl w:val="0"/>
          <w:numId w:val="18"/>
        </w:numPr>
      </w:pPr>
      <w:r>
        <w:t>Releasinghormone</w:t>
      </w:r>
    </w:p>
    <w:p w14:paraId="6ABEC3AA" w14:textId="78C2EE09" w:rsidR="00A30BCC" w:rsidRDefault="00A30BCC" w:rsidP="00A30BCC">
      <w:r>
        <w:t>Chemische Reizung der Zelle (z.B. im Hypohpysenvorderlappen)</w:t>
      </w:r>
      <w:r w:rsidRPr="00A30BCC">
        <w:t xml:space="preserve"> </w:t>
      </w:r>
      <w:r>
        <w:t>Verschmelzung der Sekretgranula mit der Plasmamembran, Ausschüttung aus der Zelle (ins Blut)</w:t>
      </w:r>
    </w:p>
    <w:p w14:paraId="36871F27" w14:textId="38F149C2" w:rsidR="00A30BCC" w:rsidRDefault="00A30BCC" w:rsidP="00A30BCC">
      <w:pPr>
        <w:pStyle w:val="berschrift4"/>
        <w:numPr>
          <w:ilvl w:val="0"/>
          <w:numId w:val="18"/>
        </w:numPr>
      </w:pPr>
      <w:r>
        <w:t>Hemmung durch Inhibitorhormone</w:t>
      </w:r>
    </w:p>
    <w:p w14:paraId="5D845658" w14:textId="4F581669" w:rsidR="00A30BCC" w:rsidRDefault="00A30BCC" w:rsidP="00A30BCC">
      <w:r>
        <w:t>Chemische Reizung der Zelle (z.B. im Hypohpysenvorderlappen), Hemmung der Ausschüttung</w:t>
      </w:r>
    </w:p>
    <w:p w14:paraId="6A1C00D0" w14:textId="26765770" w:rsidR="00A30BCC" w:rsidRDefault="00A30BCC" w:rsidP="00A30BCC">
      <w:pPr>
        <w:pStyle w:val="berschrift4"/>
        <w:numPr>
          <w:ilvl w:val="0"/>
          <w:numId w:val="18"/>
        </w:numPr>
      </w:pPr>
      <w:r>
        <w:t>Stimulation der Biosynthese</w:t>
      </w:r>
    </w:p>
    <w:p w14:paraId="6DEFE022" w14:textId="54EFE5D7" w:rsidR="00A30BCC" w:rsidRDefault="00A30BCC" w:rsidP="00A30BCC">
      <w:r>
        <w:t>Releasinghormone steigern Transkription der Hormone</w:t>
      </w:r>
    </w:p>
    <w:p w14:paraId="25052A7F" w14:textId="248C9268" w:rsidR="00A30BCC" w:rsidRDefault="00A30BCC" w:rsidP="00A30BCC">
      <w:pPr>
        <w:pStyle w:val="berschrift3"/>
      </w:pPr>
      <w:r>
        <w:t>Hierarchie des Hormonsystems</w:t>
      </w:r>
    </w:p>
    <w:p w14:paraId="5EE6F520" w14:textId="6EF9EB6C" w:rsidR="00A30BCC" w:rsidRDefault="00A30BCC" w:rsidP="00A30BCC">
      <w:pPr>
        <w:pStyle w:val="berschrift4"/>
        <w:numPr>
          <w:ilvl w:val="0"/>
          <w:numId w:val="19"/>
        </w:numPr>
      </w:pPr>
      <w:r>
        <w:t>Hypothalamus</w:t>
      </w:r>
    </w:p>
    <w:p w14:paraId="71BDD008" w14:textId="1CC3C923" w:rsidR="00A30BCC" w:rsidRDefault="00A30BCC" w:rsidP="00A30BCC">
      <w:r>
        <w:t>Releasing-Hormone und Inhibiting-Hormone</w:t>
      </w:r>
    </w:p>
    <w:p w14:paraId="24DE21CE" w14:textId="1E081311" w:rsidR="00A30BCC" w:rsidRDefault="001624D3" w:rsidP="00A30BCC">
      <w:pPr>
        <w:pStyle w:val="berschrift4"/>
        <w:numPr>
          <w:ilvl w:val="0"/>
          <w:numId w:val="19"/>
        </w:numPr>
      </w:pPr>
      <w:r>
        <w:rPr>
          <w:noProof/>
          <w:lang w:eastAsia="de-DE"/>
        </w:rPr>
        <mc:AlternateContent>
          <mc:Choice Requires="wps">
            <w:drawing>
              <wp:anchor distT="45720" distB="45720" distL="114300" distR="114300" simplePos="0" relativeHeight="251676672" behindDoc="0" locked="0" layoutInCell="1" allowOverlap="1" wp14:anchorId="0BF27DDC" wp14:editId="79BAE2FC">
                <wp:simplePos x="0" y="0"/>
                <wp:positionH relativeFrom="margin">
                  <wp:align>right</wp:align>
                </wp:positionH>
                <wp:positionV relativeFrom="paragraph">
                  <wp:posOffset>8255</wp:posOffset>
                </wp:positionV>
                <wp:extent cx="1903730" cy="1114425"/>
                <wp:effectExtent l="0" t="0" r="20320" b="28575"/>
                <wp:wrapSquare wrapText="bothSides"/>
                <wp:docPr id="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3730" cy="1114425"/>
                        </a:xfrm>
                        <a:prstGeom prst="rect">
                          <a:avLst/>
                        </a:prstGeom>
                        <a:solidFill>
                          <a:srgbClr val="FFFFFF"/>
                        </a:solidFill>
                        <a:ln w="9525">
                          <a:solidFill>
                            <a:srgbClr val="000000"/>
                          </a:solidFill>
                          <a:miter lim="800000"/>
                          <a:headEnd/>
                          <a:tailEnd/>
                        </a:ln>
                      </wps:spPr>
                      <wps:txbx>
                        <w:txbxContent>
                          <w:p w14:paraId="2AB282E6" w14:textId="3505DC72" w:rsidR="00EB6A94" w:rsidRDefault="00EB6A94">
                            <w:r>
                              <w:t>Glandotrope Hormone</w:t>
                            </w:r>
                            <w:r w:rsidR="001624D3">
                              <w:t xml:space="preserve"> wirken</w:t>
                            </w:r>
                            <w:r>
                              <w:t xml:space="preserve"> auf andere endokrine </w:t>
                            </w:r>
                            <w:r w:rsidR="001624D3">
                              <w:t>Organe.</w:t>
                            </w:r>
                          </w:p>
                          <w:p w14:paraId="2B9B761E" w14:textId="1B100EF5" w:rsidR="00EB6A94" w:rsidRDefault="00EB6A94">
                            <w:r>
                              <w:t>Nicht-glandotrope Hormone</w:t>
                            </w:r>
                            <w:r w:rsidR="001624D3">
                              <w:t xml:space="preserve"> wirken </w:t>
                            </w:r>
                            <w:r>
                              <w:t>direk</w:t>
                            </w:r>
                            <w:r w:rsidR="001624D3">
                              <w:t>t auf das Erfolgsorgan.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F27DDC" id="_x0000_s1034" type="#_x0000_t202" style="position:absolute;left:0;text-align:left;margin-left:98.7pt;margin-top:.65pt;width:149.9pt;height:87.75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">
                <v:textbox>
                  <w:txbxContent>
                    <w:p w14:paraId="2AB282E6" w14:textId="3505DC72" w:rsidR="00EB6A94" w:rsidRDefault="00EB6A94">
                      <w:r>
                        <w:t>Glandotrope Hormone</w:t>
                      </w:r>
                      <w:r w:rsidR="001624D3">
                        <w:t xml:space="preserve"> wirken</w:t>
                      </w:r>
                      <w:r>
                        <w:t xml:space="preserve"> auf andere endokrine </w:t>
                      </w:r>
                      <w:r w:rsidR="001624D3">
                        <w:t>Organe.</w:t>
                      </w:r>
                    </w:p>
                    <w:p w14:paraId="2B9B761E" w14:textId="1B100EF5" w:rsidR="00EB6A94" w:rsidRDefault="00EB6A94">
                      <w:r>
                        <w:t>Nicht-glandotrope Hormone</w:t>
                      </w:r>
                      <w:r w:rsidR="001624D3">
                        <w:t xml:space="preserve"> wirken </w:t>
                      </w:r>
                      <w:r>
                        <w:t>direk</w:t>
                      </w:r>
                      <w:r w:rsidR="001624D3">
                        <w:t>t auf das Erfolgsorgan.</w:t>
                      </w:r>
                    </w:p>
                  </w:txbxContent>
                </v:textbox>
                <w10:wrap type="square" anchorx="margin"/>
              </v:shape>
            </w:pict>
          </mc:Fallback>
        </mc:AlternateContent>
      </w:r>
      <w:r w:rsidR="00A30BCC">
        <w:t>Adenohypophyse (Hypophysenvorderlappen)</w:t>
      </w:r>
    </w:p>
    <w:p w14:paraId="48E46108" w14:textId="03B019F0" w:rsidR="00EB6A94" w:rsidRDefault="00EB6A94" w:rsidP="00EB6A94">
      <w:r>
        <w:t>Glandotrope und nichtglandotrope Hormone</w:t>
      </w:r>
    </w:p>
    <w:p w14:paraId="052BFDB1" w14:textId="5514C9F8" w:rsidR="00EB6A94" w:rsidRDefault="00EB6A94" w:rsidP="00EB6A94">
      <w:pPr>
        <w:pStyle w:val="berschrift4"/>
        <w:numPr>
          <w:ilvl w:val="0"/>
          <w:numId w:val="19"/>
        </w:numPr>
      </w:pPr>
      <w:r>
        <w:t>Periphere Drüsen</w:t>
      </w:r>
    </w:p>
    <w:p w14:paraId="6F8ED1D5" w14:textId="5516EC30" w:rsidR="00EB6A94" w:rsidRDefault="00EB6A94" w:rsidP="00EB6A94">
      <w:r>
        <w:t>Periphere Hormone wie Steroide oder Adrenalin</w:t>
      </w:r>
    </w:p>
    <w:p w14:paraId="42190663" w14:textId="1548E602" w:rsidR="00EB6A94" w:rsidRDefault="00EB6A94" w:rsidP="00EB6A94">
      <w:pPr>
        <w:pStyle w:val="berschrift4"/>
        <w:numPr>
          <w:ilvl w:val="0"/>
          <w:numId w:val="19"/>
        </w:numPr>
      </w:pPr>
      <w:r>
        <w:t>Zielgewebe</w:t>
      </w:r>
    </w:p>
    <w:p w14:paraId="4C1679BB" w14:textId="77777777" w:rsidR="00EB6A94" w:rsidRDefault="00EB6A94" w:rsidP="00EB6A94"/>
    <w:p w14:paraId="28ACA3DC" w14:textId="582203DB" w:rsidR="00EB6A94" w:rsidRDefault="00EB6A94" w:rsidP="00EB6A94">
      <w:r>
        <w:t>Die Regulation erfolgt über Rückko</w:t>
      </w:r>
      <w:r w:rsidR="003F5845">
        <w:t>p</w:t>
      </w:r>
      <w:r>
        <w:t>plungsmechanismen. Zwischen 2. Und 1. Gibt es ein „kurzes“ Feedback, die Verbindungen zwischen den anderen Teilen des Systems gelten als „langes“ Feedback</w:t>
      </w:r>
      <w:r w:rsidR="001624D3">
        <w:t xml:space="preserve">. Diese Regulation erfolgt </w:t>
      </w:r>
      <w:r>
        <w:t>allgemein über Hormone. Das Zielgewebe allerdings gibt Feedback durch Stoffwe</w:t>
      </w:r>
      <w:r w:rsidR="001624D3">
        <w:t>chselprodukte (Der Stoffwechsel des Zielgewebes wird ja durch das Hormonsystem beeinflusst).</w:t>
      </w:r>
    </w:p>
    <w:p w14:paraId="44A55AB3" w14:textId="44DF1766" w:rsidR="001624D3" w:rsidRDefault="0000466E" w:rsidP="0000466E">
      <w:pPr>
        <w:pStyle w:val="berschrift3"/>
      </w:pPr>
      <w:r>
        <w:lastRenderedPageBreak/>
        <w:t>Hormone des Hypothalamus</w:t>
      </w:r>
    </w:p>
    <w:p w14:paraId="0D4854B1" w14:textId="3D918AC8" w:rsidR="0000466E" w:rsidRDefault="002B05BB" w:rsidP="0000466E">
      <w:r>
        <w:rPr>
          <w:noProof/>
          <w:lang w:eastAsia="de-DE"/>
        </w:rPr>
        <mc:AlternateContent>
          <mc:Choice Requires="wps">
            <w:drawing>
              <wp:anchor distT="45720" distB="45720" distL="114300" distR="114300" simplePos="0" relativeHeight="251678720" behindDoc="0" locked="0" layoutInCell="1" allowOverlap="1" wp14:anchorId="6588974A" wp14:editId="0A76AEB3">
                <wp:simplePos x="0" y="0"/>
                <wp:positionH relativeFrom="margin">
                  <wp:align>right</wp:align>
                </wp:positionH>
                <wp:positionV relativeFrom="paragraph">
                  <wp:posOffset>1795145</wp:posOffset>
                </wp:positionV>
                <wp:extent cx="1075055" cy="1743075"/>
                <wp:effectExtent l="0" t="0" r="10795" b="28575"/>
                <wp:wrapSquare wrapText="bothSides"/>
                <wp:docPr id="1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055" cy="1743075"/>
                        </a:xfrm>
                        <a:prstGeom prst="rect">
                          <a:avLst/>
                        </a:prstGeom>
                        <a:solidFill>
                          <a:srgbClr val="FFFFFF"/>
                        </a:solidFill>
                        <a:ln w="9525">
                          <a:solidFill>
                            <a:srgbClr val="000000"/>
                          </a:solidFill>
                          <a:miter lim="800000"/>
                          <a:headEnd/>
                          <a:tailEnd/>
                        </a:ln>
                      </wps:spPr>
                      <wps:txbx>
                        <w:txbxContent>
                          <w:p w14:paraId="2FCDEF0B" w14:textId="6B647BF2" w:rsidR="002B05BB" w:rsidRDefault="002B05BB">
                            <w:r>
                              <w:t>MSH: Melanozyten-stimuliernede Hormone regulieren u.a. Melanin-synthese, begrenzen Fieberreaktion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8974A" id="_x0000_s1035" type="#_x0000_t202" style="position:absolute;margin-left:33.45pt;margin-top:141.35pt;width:84.65pt;height:137.2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">
                <v:textbox>
                  <w:txbxContent>
                    <w:p w14:paraId="2FCDEF0B" w14:textId="6B647BF2" w:rsidR="002B05BB" w:rsidRDefault="002B05BB">
                      <w:r>
                        <w:t>MSH: Melanozyten-stimuliernede Hormone regulieren u.a. Melanin-synthese, begrenzen Fieberreaktion</w:t>
                      </w:r>
                    </w:p>
                  </w:txbxContent>
                </v:textbox>
                <w10:wrap type="square" anchorx="margin"/>
              </v:shape>
            </w:pict>
          </mc:Fallback>
        </mc:AlternateContent>
      </w:r>
      <w:r w:rsidR="0000466E">
        <w:rPr>
          <w:noProof/>
          <w:lang w:eastAsia="de-DE"/>
        </w:rPr>
        <w:drawing>
          <wp:inline distT="0" distB="0" distL="0" distR="0" wp14:anchorId="05BF5943" wp14:editId="1C4626B5">
            <wp:extent cx="4541947" cy="3800475"/>
            <wp:effectExtent l="0" t="0" r="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93282" cy="3843429"/>
                    </a:xfrm>
                    <a:prstGeom prst="rect">
                      <a:avLst/>
                    </a:prstGeom>
                  </pic:spPr>
                </pic:pic>
              </a:graphicData>
            </a:graphic>
          </wp:inline>
        </w:drawing>
      </w:r>
    </w:p>
    <w:p w14:paraId="4A47A114" w14:textId="1AEB8D28" w:rsidR="0000466E" w:rsidRDefault="0000466E" w:rsidP="0000466E">
      <w:pPr>
        <w:pStyle w:val="berschrift3"/>
      </w:pPr>
      <w:r>
        <w:t>Hormone der Adenohypophyse (HVL)</w:t>
      </w:r>
    </w:p>
    <w:p w14:paraId="564BFE20" w14:textId="24B22405" w:rsidR="0000466E" w:rsidRDefault="0000466E" w:rsidP="0000466E">
      <w:pPr>
        <w:pStyle w:val="Listenabsatz"/>
        <w:numPr>
          <w:ilvl w:val="0"/>
          <w:numId w:val="21"/>
        </w:numPr>
      </w:pPr>
      <w:r>
        <w:t>TSH: Thy</w:t>
      </w:r>
      <w:r w:rsidR="0048143B">
        <w:t>reoidea-stimulierendes Hormon</w:t>
      </w:r>
      <w:r w:rsidR="0048143B">
        <w:br/>
        <w:t>stimuliert Wachstum, Iodaufnahme, Hormonbildung der Schilddrüse</w:t>
      </w:r>
    </w:p>
    <w:p w14:paraId="1E31B1AC" w14:textId="611CA363" w:rsidR="0048143B" w:rsidRDefault="0048143B" w:rsidP="0000466E">
      <w:pPr>
        <w:pStyle w:val="Listenabsatz"/>
        <w:numPr>
          <w:ilvl w:val="0"/>
          <w:numId w:val="21"/>
        </w:numPr>
      </w:pPr>
      <w:r>
        <w:t>ACTH: adrenocorticotropes Hormon</w:t>
      </w:r>
      <w:r>
        <w:br/>
        <w:t>reguliert Nebenniere</w:t>
      </w:r>
    </w:p>
    <w:p w14:paraId="4DD5645C" w14:textId="0BD27294" w:rsidR="0048143B" w:rsidRDefault="0048143B" w:rsidP="0000466E">
      <w:pPr>
        <w:pStyle w:val="Listenabsatz"/>
        <w:numPr>
          <w:ilvl w:val="0"/>
          <w:numId w:val="21"/>
        </w:numPr>
      </w:pPr>
      <w:r>
        <w:t>LH: Luteinisierendes Hormon</w:t>
      </w:r>
      <w:r>
        <w:br/>
        <w:t>stimuliert in Gonaden Synthese und Sekretion von Androgenen bzw. Östrogenen</w:t>
      </w:r>
    </w:p>
    <w:p w14:paraId="163742C3" w14:textId="2CF73C3A" w:rsidR="0048143B" w:rsidRDefault="0048143B" w:rsidP="0000466E">
      <w:pPr>
        <w:pStyle w:val="Listenabsatz"/>
        <w:numPr>
          <w:ilvl w:val="0"/>
          <w:numId w:val="21"/>
        </w:numPr>
      </w:pPr>
      <w:r>
        <w:t>FSH: Follikelstimulierendes Hormon</w:t>
      </w:r>
      <w:r w:rsidR="009E5CBB">
        <w:br/>
        <w:t>stimuliert in Gonaden Follikelreifung und Spermatogenese</w:t>
      </w:r>
    </w:p>
    <w:p w14:paraId="37899B1D" w14:textId="6169D8C9" w:rsidR="009E5CBB" w:rsidRDefault="009E5CBB" w:rsidP="0000466E">
      <w:pPr>
        <w:pStyle w:val="Listenabsatz"/>
        <w:numPr>
          <w:ilvl w:val="0"/>
          <w:numId w:val="21"/>
        </w:numPr>
      </w:pPr>
      <w:r>
        <w:t>GH: Wachstumshormon/Somatotropin (englisch Growth Hormone)</w:t>
      </w:r>
    </w:p>
    <w:p w14:paraId="1968B80F" w14:textId="732DBF63" w:rsidR="009E5CBB" w:rsidRDefault="009E5CBB" w:rsidP="0000466E">
      <w:pPr>
        <w:pStyle w:val="Listenabsatz"/>
        <w:numPr>
          <w:ilvl w:val="0"/>
          <w:numId w:val="21"/>
        </w:numPr>
      </w:pPr>
      <w:r>
        <w:t>PRL: Prolaktin</w:t>
      </w:r>
      <w:r>
        <w:br/>
        <w:t>Wachstum der Brustdrüse, Milchsekretion</w:t>
      </w:r>
      <w:r w:rsidR="00066DFB">
        <w:t xml:space="preserve"> (Laktation)</w:t>
      </w:r>
    </w:p>
    <w:p w14:paraId="2808E65A" w14:textId="090005B4" w:rsidR="009E5CBB" w:rsidRDefault="009E5CBB" w:rsidP="009E5CBB">
      <w:pPr>
        <w:pStyle w:val="berschrift3"/>
      </w:pPr>
      <w:r>
        <w:t>Hormone des Hypophysen-Hinterlappens (HHL)</w:t>
      </w:r>
    </w:p>
    <w:p w14:paraId="48EEB76F" w14:textId="573FB45A" w:rsidR="009E5CBB" w:rsidRDefault="009E5CBB" w:rsidP="009E5CBB">
      <w:pPr>
        <w:pStyle w:val="Listenabsatz"/>
        <w:numPr>
          <w:ilvl w:val="0"/>
          <w:numId w:val="22"/>
        </w:numPr>
      </w:pPr>
      <w:r>
        <w:t>ADH: Antidiuretisches Hormon</w:t>
      </w:r>
      <w:r>
        <w:br/>
        <w:t>Regulation des Wasserhaushalts (Resorption in der Niere), Einbau von Aquaporinen in die Membran der Sammelrohrzellen</w:t>
      </w:r>
      <w:r>
        <w:br/>
        <w:t>Vasopressorische Wirkung, arterielle Vasokonstriktion, Blutdruckerhöhung</w:t>
      </w:r>
    </w:p>
    <w:p w14:paraId="74BB291A" w14:textId="21BCA776" w:rsidR="009E5CBB" w:rsidRDefault="009E5CBB" w:rsidP="009E5CBB">
      <w:pPr>
        <w:pStyle w:val="Listenabsatz"/>
        <w:numPr>
          <w:ilvl w:val="0"/>
          <w:numId w:val="22"/>
        </w:numPr>
      </w:pPr>
      <w:r>
        <w:t>Oxytocin</w:t>
      </w:r>
      <w:r w:rsidR="00066DFB">
        <w:br/>
        <w:t>wird ausgeschüttet nach nervösem Reiz (Dehnungsrezeptor Brustwarze, Cervix, Vagina)</w:t>
      </w:r>
      <w:r>
        <w:br/>
        <w:t xml:space="preserve">Stimulation der glatten Muskulatur des Uterus, </w:t>
      </w:r>
      <w:r w:rsidR="00066DFB">
        <w:t>Laktation</w:t>
      </w:r>
    </w:p>
    <w:p w14:paraId="0618AD26" w14:textId="6969B51D" w:rsidR="002B05BB" w:rsidRPr="009E5CBB" w:rsidRDefault="002B05BB" w:rsidP="002B05BB">
      <w:r>
        <w:br w:type="page"/>
      </w:r>
    </w:p>
    <w:p w14:paraId="2D13FFD1" w14:textId="4E24D349" w:rsidR="00DF5FDF" w:rsidRDefault="00DF5FDF" w:rsidP="00DF5FDF">
      <w:pPr>
        <w:pStyle w:val="berschrift3"/>
      </w:pPr>
      <w:r>
        <w:lastRenderedPageBreak/>
        <w:t>Störungen des Regelkreises</w:t>
      </w:r>
    </w:p>
    <w:p w14:paraId="6E8DB9FB" w14:textId="64459A31" w:rsidR="00DF5FDF" w:rsidRDefault="00DF5FDF" w:rsidP="00DF5FDF">
      <w:pPr>
        <w:pStyle w:val="berschrift4"/>
        <w:numPr>
          <w:ilvl w:val="0"/>
          <w:numId w:val="20"/>
        </w:numPr>
      </w:pPr>
      <w:r>
        <w:t>Hormonmangel</w:t>
      </w:r>
    </w:p>
    <w:p w14:paraId="4B93C219" w14:textId="37D7B152" w:rsidR="00DF5FDF" w:rsidRDefault="00DF5FDF" w:rsidP="00DF5FDF">
      <w:r>
        <w:t>Beispiel: Jodmangel</w:t>
      </w:r>
      <w:r>
        <w:br/>
        <w:t xml:space="preserve">Metabolismus verlangsamt wegen mangelndem T4/T3- Hormon, Hypothalamus regt Hypophyse an Schilddrüse über TSH (Thyreoidea-stimulierendes Hormon) zu stimulieren. Schilddrüse wächst, kann aber wegen mangelndem Iod (Rohstoffmangel) nicht mehr Hormone produzieren </w:t>
      </w:r>
      <w:r>
        <w:sym w:font="Wingdings" w:char="F0E0"/>
      </w:r>
      <w:r>
        <w:t xml:space="preserve"> Regelkreis entgleist, Hypoplasie der Schilddrüse</w:t>
      </w:r>
      <w:r w:rsidR="00475DEA">
        <w:t xml:space="preserve"> (Struma: Kropf, starke Schwellung der Schilddrüse)</w:t>
      </w:r>
    </w:p>
    <w:p w14:paraId="2EA11418" w14:textId="6A94D265" w:rsidR="00DF5FDF" w:rsidRDefault="00DF5FDF" w:rsidP="00DF5FDF">
      <w:pPr>
        <w:pStyle w:val="berschrift4"/>
        <w:numPr>
          <w:ilvl w:val="0"/>
          <w:numId w:val="20"/>
        </w:numPr>
      </w:pPr>
      <w:r>
        <w:t>Hormonüberschuss</w:t>
      </w:r>
    </w:p>
    <w:p w14:paraId="11786F31" w14:textId="5FD6A0B1" w:rsidR="00475DEA" w:rsidRDefault="00DF5FDF">
      <w:r>
        <w:t>Beispiel: Morbus Basedow</w:t>
      </w:r>
      <w:r>
        <w:br/>
        <w:t>Autoimmunerkrankung gegen Follikelzellen (TSH-Rezeptor) der Schilddrüse, die TSH speichern.</w:t>
      </w:r>
      <w:r>
        <w:br/>
      </w:r>
      <w:r w:rsidR="00475DEA">
        <w:t>Die Antikörper imitieren TSH</w:t>
      </w:r>
      <w:r>
        <w:t xml:space="preserve"> und </w:t>
      </w:r>
      <w:r w:rsidR="00475DEA">
        <w:t xml:space="preserve">verursachen </w:t>
      </w:r>
      <w:r>
        <w:t xml:space="preserve">dadurch </w:t>
      </w:r>
      <w:r w:rsidR="00475DEA">
        <w:t>einen Überschuss an T3/T4.</w:t>
      </w:r>
      <w:r w:rsidR="00475DEA">
        <w:br/>
        <w:t>Die wichtigsten Symptome sind Struma, Exophtalmus (Auge tritt aus der Augenhöhle) und Tachykardie.</w:t>
      </w:r>
      <w:r w:rsidR="00475DEA">
        <w:br/>
        <w:t>Weitere sind Hyperthermie, Schwitzen; Hyperglykämie; Osteoporose, Hyperkalzämie, Hyperkalzurie; Hyperreflexie, Zittern, Schlaflosigkeit, Muskelschwäche; Tränenfluss, Lichtempfindlichkeit, Doppelbilder;</w:t>
      </w:r>
    </w:p>
    <w:p w14:paraId="565F7C57" w14:textId="50D60C45" w:rsidR="00DF5FDF" w:rsidRDefault="00475DEA" w:rsidP="00475DEA">
      <w:pPr>
        <w:pStyle w:val="berschrift3"/>
      </w:pPr>
      <w:r>
        <w:t>Hormonsubstitution</w:t>
      </w:r>
    </w:p>
    <w:tbl>
      <w:tblPr>
        <w:tblStyle w:val="Tabellenraster"/>
        <w:tblW w:w="0" w:type="auto"/>
        <w:tblLook w:val="04A0" w:firstRow="1" w:lastRow="0" w:firstColumn="1" w:lastColumn="0" w:noHBand="0" w:noVBand="1"/>
      </w:tblPr>
      <w:tblGrid>
        <w:gridCol w:w="1839"/>
        <w:gridCol w:w="2125"/>
        <w:gridCol w:w="2410"/>
        <w:gridCol w:w="2688"/>
      </w:tblGrid>
      <w:tr w:rsidR="00475DEA" w14:paraId="4A8122F8" w14:textId="77777777" w:rsidTr="00280679">
        <w:tc>
          <w:tcPr>
            <w:tcW w:w="1839" w:type="dxa"/>
          </w:tcPr>
          <w:p w14:paraId="4CCC677D" w14:textId="677367A8" w:rsidR="00475DEA" w:rsidRDefault="00475DEA" w:rsidP="00475DEA">
            <w:r>
              <w:t>Erkrankung</w:t>
            </w:r>
          </w:p>
        </w:tc>
        <w:tc>
          <w:tcPr>
            <w:tcW w:w="2125" w:type="dxa"/>
          </w:tcPr>
          <w:p w14:paraId="58AB0E56" w14:textId="6AAE83AF" w:rsidR="00475DEA" w:rsidRDefault="00475DEA" w:rsidP="00475DEA">
            <w:r>
              <w:t>Mangelndes Hormon</w:t>
            </w:r>
          </w:p>
        </w:tc>
        <w:tc>
          <w:tcPr>
            <w:tcW w:w="2410" w:type="dxa"/>
          </w:tcPr>
          <w:p w14:paraId="3551D09C" w14:textId="5E18FD21" w:rsidR="00475DEA" w:rsidRDefault="00475DEA" w:rsidP="00475DEA">
            <w:r>
              <w:t>Mögl. Nebenwirkung</w:t>
            </w:r>
          </w:p>
        </w:tc>
        <w:tc>
          <w:tcPr>
            <w:tcW w:w="2688" w:type="dxa"/>
          </w:tcPr>
          <w:p w14:paraId="1EBCC292" w14:textId="7FB3C53C" w:rsidR="00475DEA" w:rsidRDefault="00475DEA" w:rsidP="00475DEA">
            <w:r>
              <w:t>Maßnahme</w:t>
            </w:r>
          </w:p>
        </w:tc>
      </w:tr>
      <w:tr w:rsidR="00475DEA" w14:paraId="3444AEAB" w14:textId="77777777" w:rsidTr="00280679">
        <w:tc>
          <w:tcPr>
            <w:tcW w:w="1839" w:type="dxa"/>
          </w:tcPr>
          <w:p w14:paraId="57276C51" w14:textId="2E2AE37A" w:rsidR="00475DEA" w:rsidRDefault="00475DEA" w:rsidP="00475DEA">
            <w:r>
              <w:t>Chronische Nierenerkrankung</w:t>
            </w:r>
          </w:p>
        </w:tc>
        <w:tc>
          <w:tcPr>
            <w:tcW w:w="2125" w:type="dxa"/>
          </w:tcPr>
          <w:p w14:paraId="1E7352AB" w14:textId="254A9FDD" w:rsidR="00475DEA" w:rsidRDefault="00475DEA" w:rsidP="00475DEA">
            <w:r>
              <w:t>Erythropoietin</w:t>
            </w:r>
          </w:p>
        </w:tc>
        <w:tc>
          <w:tcPr>
            <w:tcW w:w="2410" w:type="dxa"/>
          </w:tcPr>
          <w:p w14:paraId="49372B89" w14:textId="1F8642F2" w:rsidR="00475DEA" w:rsidRDefault="00280679" w:rsidP="00475DEA">
            <w:r>
              <w:t>Bluthochdruck; Hämatokriterhöhung</w:t>
            </w:r>
          </w:p>
        </w:tc>
        <w:tc>
          <w:tcPr>
            <w:tcW w:w="2688" w:type="dxa"/>
          </w:tcPr>
          <w:p w14:paraId="648DF033" w14:textId="2C252424" w:rsidR="00475DEA" w:rsidRDefault="00280679" w:rsidP="00475DEA">
            <w:r>
              <w:t>Strenge Indikationsstellung (darf nur in ernsten Fällen eingesetzt werden)</w:t>
            </w:r>
          </w:p>
        </w:tc>
      </w:tr>
      <w:tr w:rsidR="00475DEA" w14:paraId="347B75A8" w14:textId="77777777" w:rsidTr="00280679">
        <w:tc>
          <w:tcPr>
            <w:tcW w:w="1839" w:type="dxa"/>
          </w:tcPr>
          <w:p w14:paraId="49ED9D4D" w14:textId="06FCAFC5" w:rsidR="00475DEA" w:rsidRDefault="00475DEA" w:rsidP="00475DEA">
            <w:r>
              <w:t>Hypothyreose</w:t>
            </w:r>
          </w:p>
        </w:tc>
        <w:tc>
          <w:tcPr>
            <w:tcW w:w="2125" w:type="dxa"/>
          </w:tcPr>
          <w:p w14:paraId="3BB8823E" w14:textId="26EFD3C3" w:rsidR="00475DEA" w:rsidRDefault="00475DEA" w:rsidP="00475DEA">
            <w:r>
              <w:t>L-Thyroxin</w:t>
            </w:r>
          </w:p>
        </w:tc>
        <w:tc>
          <w:tcPr>
            <w:tcW w:w="2410" w:type="dxa"/>
          </w:tcPr>
          <w:p w14:paraId="30695440" w14:textId="27E848A7" w:rsidR="00475DEA" w:rsidRDefault="00280679" w:rsidP="00475DEA">
            <w:r>
              <w:t>Tachykardie; Gewichtsabnahme</w:t>
            </w:r>
          </w:p>
        </w:tc>
        <w:tc>
          <w:tcPr>
            <w:tcW w:w="2688" w:type="dxa"/>
          </w:tcPr>
          <w:p w14:paraId="53D1D8EA" w14:textId="36588669" w:rsidR="00280679" w:rsidRDefault="00280679" w:rsidP="00475DEA">
            <w:r>
              <w:t>Langsames Einschleichen (Dosisfindung)</w:t>
            </w:r>
          </w:p>
        </w:tc>
      </w:tr>
      <w:tr w:rsidR="00475DEA" w14:paraId="54EF6D6A" w14:textId="77777777" w:rsidTr="00280679">
        <w:tc>
          <w:tcPr>
            <w:tcW w:w="1839" w:type="dxa"/>
          </w:tcPr>
          <w:p w14:paraId="7F5D700A" w14:textId="211B7B5E" w:rsidR="00475DEA" w:rsidRDefault="00475DEA" w:rsidP="00475DEA">
            <w:r>
              <w:t>Diabetes Mellitus Typ 1</w:t>
            </w:r>
          </w:p>
        </w:tc>
        <w:tc>
          <w:tcPr>
            <w:tcW w:w="2125" w:type="dxa"/>
          </w:tcPr>
          <w:p w14:paraId="3EA030CF" w14:textId="594DEDA2" w:rsidR="00475DEA" w:rsidRDefault="00280679" w:rsidP="00475DEA">
            <w:r>
              <w:t>Insulin</w:t>
            </w:r>
          </w:p>
        </w:tc>
        <w:tc>
          <w:tcPr>
            <w:tcW w:w="2410" w:type="dxa"/>
          </w:tcPr>
          <w:p w14:paraId="227D54BC" w14:textId="7D294BFF" w:rsidR="00475DEA" w:rsidRDefault="00280679" w:rsidP="00475DEA">
            <w:r>
              <w:t>Hypoglykämie; Allergische Reaktionen</w:t>
            </w:r>
          </w:p>
        </w:tc>
        <w:tc>
          <w:tcPr>
            <w:tcW w:w="2688" w:type="dxa"/>
          </w:tcPr>
          <w:p w14:paraId="3D287A7A" w14:textId="34557E62" w:rsidR="00475DEA" w:rsidRDefault="00280679" w:rsidP="00475DEA">
            <w:r>
              <w:t>Glucose-Gabe; Blutzucker-Kontrolle</w:t>
            </w:r>
          </w:p>
        </w:tc>
      </w:tr>
      <w:tr w:rsidR="00475DEA" w14:paraId="436A7E13" w14:textId="77777777" w:rsidTr="00280679">
        <w:tc>
          <w:tcPr>
            <w:tcW w:w="1839" w:type="dxa"/>
          </w:tcPr>
          <w:p w14:paraId="00456636" w14:textId="1DA250C5" w:rsidR="00475DEA" w:rsidRDefault="00280679" w:rsidP="00475DEA">
            <w:r>
              <w:t>Kleinwuchs</w:t>
            </w:r>
          </w:p>
        </w:tc>
        <w:tc>
          <w:tcPr>
            <w:tcW w:w="2125" w:type="dxa"/>
          </w:tcPr>
          <w:p w14:paraId="016ECBE9" w14:textId="0B91EC2D" w:rsidR="00475DEA" w:rsidRDefault="00280679" w:rsidP="00475DEA">
            <w:r>
              <w:t>Somatotropin</w:t>
            </w:r>
          </w:p>
        </w:tc>
        <w:tc>
          <w:tcPr>
            <w:tcW w:w="2410" w:type="dxa"/>
          </w:tcPr>
          <w:p w14:paraId="12915628" w14:textId="4EDE3C1C" w:rsidR="00475DEA" w:rsidRDefault="00280679" w:rsidP="00475DEA">
            <w:r>
              <w:t>Erytheme; Ödeme; Hypothyreose</w:t>
            </w:r>
          </w:p>
        </w:tc>
        <w:tc>
          <w:tcPr>
            <w:tcW w:w="2688" w:type="dxa"/>
          </w:tcPr>
          <w:p w14:paraId="6CA2FA55" w14:textId="3EB4D517" w:rsidR="00475DEA" w:rsidRDefault="00280679" w:rsidP="00475DEA">
            <w:r>
              <w:t>Regelmäßige Verlaufskontrolle</w:t>
            </w:r>
          </w:p>
        </w:tc>
      </w:tr>
    </w:tbl>
    <w:p w14:paraId="48932A99" w14:textId="77777777" w:rsidR="00475DEA" w:rsidRPr="00475DEA" w:rsidRDefault="00475DEA" w:rsidP="00475DEA"/>
    <w:sectPr w:rsidR="00475DEA" w:rsidRPr="00475DEA">
      <w:headerReference w:type="default" r:id="rId12"/>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Felix Holm" w:date="2016-01-31T15:28:00Z" w:initials="FH">
    <w:p w14:paraId="1CC8E5CE" w14:textId="5D7125D8" w:rsidR="006C61C9" w:rsidRDefault="006C61C9">
      <w:pPr>
        <w:pStyle w:val="Kommentartext"/>
      </w:pPr>
      <w:r>
        <w:rPr>
          <w:rStyle w:val="Kommentarzeichen"/>
        </w:rPr>
        <w:annotationRef/>
      </w:r>
      <w:r>
        <w:t>Mehr Biochemische Details auf den Folien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CC8E5C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BABECC" w14:textId="77777777" w:rsidR="00822EC2" w:rsidRDefault="00822EC2" w:rsidP="008E3997">
      <w:pPr>
        <w:spacing w:after="0" w:line="240" w:lineRule="auto"/>
      </w:pPr>
      <w:r>
        <w:separator/>
      </w:r>
    </w:p>
  </w:endnote>
  <w:endnote w:type="continuationSeparator" w:id="0">
    <w:p w14:paraId="40BABECD" w14:textId="77777777" w:rsidR="00822EC2" w:rsidRDefault="00822EC2" w:rsidP="008E3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BABECA" w14:textId="77777777" w:rsidR="00822EC2" w:rsidRDefault="00822EC2" w:rsidP="008E3997">
      <w:pPr>
        <w:spacing w:after="0" w:line="240" w:lineRule="auto"/>
      </w:pPr>
      <w:r>
        <w:separator/>
      </w:r>
    </w:p>
  </w:footnote>
  <w:footnote w:type="continuationSeparator" w:id="0">
    <w:p w14:paraId="40BABECB" w14:textId="77777777" w:rsidR="00822EC2" w:rsidRDefault="00822EC2" w:rsidP="008E39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ABECE" w14:textId="4905F612" w:rsidR="008E3997" w:rsidRDefault="008E3997">
    <w:pPr>
      <w:pStyle w:val="Kopfzeile"/>
    </w:pPr>
    <w:r>
      <w:tab/>
      <w:t xml:space="preserve">Zsf. Endokrine Organe </w:t>
    </w:r>
    <w:r w:rsidR="00763C0C">
      <w:t>–</w:t>
    </w:r>
    <w:r>
      <w:t xml:space="preserve"> Physiologie</w:t>
    </w:r>
    <w:r w:rsidR="00763C0C">
      <w:t xml:space="preserve"> </w:t>
    </w:r>
    <w:r w:rsidR="00BC4A52">
      <w:t>2</w:t>
    </w:r>
    <w:r>
      <w:ptab w:relativeTo="margin" w:alignment="right" w:leader="none"/>
    </w:r>
    <w:r>
      <w:rPr>
        <w:b/>
        <w:bCs/>
      </w:rPr>
      <w:fldChar w:fldCharType="begin"/>
    </w:r>
    <w:r>
      <w:rPr>
        <w:b/>
        <w:bCs/>
      </w:rPr>
      <w:instrText>PAGE  \* Arabic  \* MERGEFORMAT</w:instrText>
    </w:r>
    <w:r>
      <w:rPr>
        <w:b/>
        <w:bCs/>
      </w:rPr>
      <w:fldChar w:fldCharType="separate"/>
    </w:r>
    <w:r w:rsidR="00F047CA">
      <w:rPr>
        <w:b/>
        <w:bCs/>
        <w:noProof/>
      </w:rPr>
      <w:t>2</w:t>
    </w:r>
    <w:r>
      <w:rPr>
        <w:b/>
        <w:bCs/>
      </w:rPr>
      <w:fldChar w:fldCharType="end"/>
    </w:r>
    <w:r>
      <w:t xml:space="preserve"> von </w:t>
    </w:r>
    <w:r>
      <w:rPr>
        <w:b/>
        <w:bCs/>
      </w:rPr>
      <w:fldChar w:fldCharType="begin"/>
    </w:r>
    <w:r>
      <w:rPr>
        <w:b/>
        <w:bCs/>
      </w:rPr>
      <w:instrText>NUMPAGES  \* Arabic  \* MERGEFORMAT</w:instrText>
    </w:r>
    <w:r>
      <w:rPr>
        <w:b/>
        <w:bCs/>
      </w:rPr>
      <w:fldChar w:fldCharType="separate"/>
    </w:r>
    <w:r w:rsidR="00F047CA">
      <w:rPr>
        <w:b/>
        <w:bCs/>
        <w:noProof/>
      </w:rPr>
      <w:t>5</w:t>
    </w:r>
    <w:r>
      <w:rPr>
        <w:b/>
        <w:bC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119B8"/>
    <w:multiLevelType w:val="hybridMultilevel"/>
    <w:tmpl w:val="A7CCE2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91E6D12"/>
    <w:multiLevelType w:val="hybridMultilevel"/>
    <w:tmpl w:val="BF2474D0"/>
    <w:lvl w:ilvl="0" w:tplc="5418845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BCB1582"/>
    <w:multiLevelType w:val="hybridMultilevel"/>
    <w:tmpl w:val="E35023B8"/>
    <w:lvl w:ilvl="0" w:tplc="584AABD6">
      <w:start w:val="2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6346B6B"/>
    <w:multiLevelType w:val="hybridMultilevel"/>
    <w:tmpl w:val="87A0A5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740314E"/>
    <w:multiLevelType w:val="hybridMultilevel"/>
    <w:tmpl w:val="8DD0D9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7BE18B1"/>
    <w:multiLevelType w:val="hybridMultilevel"/>
    <w:tmpl w:val="E73EC3F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82D718E"/>
    <w:multiLevelType w:val="hybridMultilevel"/>
    <w:tmpl w:val="A4ACC3DA"/>
    <w:lvl w:ilvl="0" w:tplc="538455F8">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827749C"/>
    <w:multiLevelType w:val="hybridMultilevel"/>
    <w:tmpl w:val="0EAEAAD8"/>
    <w:lvl w:ilvl="0" w:tplc="35A084B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9F35B6E"/>
    <w:multiLevelType w:val="hybridMultilevel"/>
    <w:tmpl w:val="ADA408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07D34BB"/>
    <w:multiLevelType w:val="hybridMultilevel"/>
    <w:tmpl w:val="405EBE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2E92E74"/>
    <w:multiLevelType w:val="hybridMultilevel"/>
    <w:tmpl w:val="8B0E41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ABA011E"/>
    <w:multiLevelType w:val="hybridMultilevel"/>
    <w:tmpl w:val="2522CAA8"/>
    <w:lvl w:ilvl="0" w:tplc="5418845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2F077F2"/>
    <w:multiLevelType w:val="hybridMultilevel"/>
    <w:tmpl w:val="F036F08A"/>
    <w:lvl w:ilvl="0" w:tplc="E704298A">
      <w:start w:val="2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41A1DCE"/>
    <w:multiLevelType w:val="hybridMultilevel"/>
    <w:tmpl w:val="64F6908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5F231166"/>
    <w:multiLevelType w:val="hybridMultilevel"/>
    <w:tmpl w:val="3D6A76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F8534A3"/>
    <w:multiLevelType w:val="hybridMultilevel"/>
    <w:tmpl w:val="1602A2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0E62BF9"/>
    <w:multiLevelType w:val="hybridMultilevel"/>
    <w:tmpl w:val="5770C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6F22B2D"/>
    <w:multiLevelType w:val="hybridMultilevel"/>
    <w:tmpl w:val="42508BB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ED828AF"/>
    <w:multiLevelType w:val="hybridMultilevel"/>
    <w:tmpl w:val="EAAC4AC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0F65621"/>
    <w:multiLevelType w:val="hybridMultilevel"/>
    <w:tmpl w:val="9AF41A1C"/>
    <w:lvl w:ilvl="0" w:tplc="35A084B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714E06F2"/>
    <w:multiLevelType w:val="hybridMultilevel"/>
    <w:tmpl w:val="2DD25F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55639AD"/>
    <w:multiLevelType w:val="hybridMultilevel"/>
    <w:tmpl w:val="97A2C4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9"/>
  </w:num>
  <w:num w:numId="2">
    <w:abstractNumId w:val="7"/>
  </w:num>
  <w:num w:numId="3">
    <w:abstractNumId w:val="19"/>
  </w:num>
  <w:num w:numId="4">
    <w:abstractNumId w:val="11"/>
  </w:num>
  <w:num w:numId="5">
    <w:abstractNumId w:val="1"/>
  </w:num>
  <w:num w:numId="6">
    <w:abstractNumId w:val="2"/>
  </w:num>
  <w:num w:numId="7">
    <w:abstractNumId w:val="12"/>
  </w:num>
  <w:num w:numId="8">
    <w:abstractNumId w:val="0"/>
  </w:num>
  <w:num w:numId="9">
    <w:abstractNumId w:val="15"/>
  </w:num>
  <w:num w:numId="10">
    <w:abstractNumId w:val="3"/>
  </w:num>
  <w:num w:numId="11">
    <w:abstractNumId w:val="8"/>
  </w:num>
  <w:num w:numId="12">
    <w:abstractNumId w:val="10"/>
  </w:num>
  <w:num w:numId="13">
    <w:abstractNumId w:val="14"/>
  </w:num>
  <w:num w:numId="14">
    <w:abstractNumId w:val="4"/>
  </w:num>
  <w:num w:numId="15">
    <w:abstractNumId w:val="18"/>
  </w:num>
  <w:num w:numId="16">
    <w:abstractNumId w:val="21"/>
  </w:num>
  <w:num w:numId="17">
    <w:abstractNumId w:val="13"/>
  </w:num>
  <w:num w:numId="18">
    <w:abstractNumId w:val="6"/>
  </w:num>
  <w:num w:numId="19">
    <w:abstractNumId w:val="17"/>
  </w:num>
  <w:num w:numId="20">
    <w:abstractNumId w:val="5"/>
  </w:num>
  <w:num w:numId="21">
    <w:abstractNumId w:val="20"/>
  </w:num>
  <w:num w:numId="22">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elix Holm">
    <w15:presenceInfo w15:providerId="Windows Live" w15:userId="615be6beeeac5f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997"/>
    <w:rsid w:val="0000466E"/>
    <w:rsid w:val="0001750E"/>
    <w:rsid w:val="00020930"/>
    <w:rsid w:val="00041DDB"/>
    <w:rsid w:val="00042960"/>
    <w:rsid w:val="000565D3"/>
    <w:rsid w:val="00066DFB"/>
    <w:rsid w:val="000B3CDC"/>
    <w:rsid w:val="000D52E6"/>
    <w:rsid w:val="001624D3"/>
    <w:rsid w:val="001A599D"/>
    <w:rsid w:val="001E381D"/>
    <w:rsid w:val="0023169B"/>
    <w:rsid w:val="00280679"/>
    <w:rsid w:val="002936F3"/>
    <w:rsid w:val="002B05BB"/>
    <w:rsid w:val="003043E9"/>
    <w:rsid w:val="00395311"/>
    <w:rsid w:val="003D5529"/>
    <w:rsid w:val="003E0D8E"/>
    <w:rsid w:val="003F5845"/>
    <w:rsid w:val="00460B63"/>
    <w:rsid w:val="00472056"/>
    <w:rsid w:val="00475DEA"/>
    <w:rsid w:val="0048143B"/>
    <w:rsid w:val="00485D5A"/>
    <w:rsid w:val="00490118"/>
    <w:rsid w:val="004E0C9D"/>
    <w:rsid w:val="004E3E2F"/>
    <w:rsid w:val="004F3FB2"/>
    <w:rsid w:val="00527FDA"/>
    <w:rsid w:val="0057208E"/>
    <w:rsid w:val="005B2400"/>
    <w:rsid w:val="00640F88"/>
    <w:rsid w:val="006C61C9"/>
    <w:rsid w:val="00701738"/>
    <w:rsid w:val="00740EE5"/>
    <w:rsid w:val="00762B1B"/>
    <w:rsid w:val="00763C0C"/>
    <w:rsid w:val="007702AA"/>
    <w:rsid w:val="007A0300"/>
    <w:rsid w:val="00822EC2"/>
    <w:rsid w:val="0083569E"/>
    <w:rsid w:val="00880DED"/>
    <w:rsid w:val="00897EBD"/>
    <w:rsid w:val="008E3997"/>
    <w:rsid w:val="00906C91"/>
    <w:rsid w:val="009E5CBB"/>
    <w:rsid w:val="009F2202"/>
    <w:rsid w:val="00A30BCC"/>
    <w:rsid w:val="00A61ED0"/>
    <w:rsid w:val="00B3099A"/>
    <w:rsid w:val="00BA1CAA"/>
    <w:rsid w:val="00BC4A52"/>
    <w:rsid w:val="00CF7342"/>
    <w:rsid w:val="00D41928"/>
    <w:rsid w:val="00DF5FDF"/>
    <w:rsid w:val="00E13DA9"/>
    <w:rsid w:val="00E325E8"/>
    <w:rsid w:val="00E80F26"/>
    <w:rsid w:val="00EB6A94"/>
    <w:rsid w:val="00F047CA"/>
    <w:rsid w:val="00FD64C4"/>
    <w:rsid w:val="00FE4A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0BABEB2"/>
  <w15:chartTrackingRefBased/>
  <w15:docId w15:val="{FA930483-2D26-4C44-870B-C745505F9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8E39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8E39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unhideWhenUsed/>
    <w:qFormat/>
    <w:rsid w:val="00906C9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unhideWhenUsed/>
    <w:qFormat/>
    <w:rsid w:val="00906C9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E399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E3997"/>
  </w:style>
  <w:style w:type="paragraph" w:styleId="Fuzeile">
    <w:name w:val="footer"/>
    <w:basedOn w:val="Standard"/>
    <w:link w:val="FuzeileZchn"/>
    <w:uiPriority w:val="99"/>
    <w:unhideWhenUsed/>
    <w:rsid w:val="008E399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E3997"/>
  </w:style>
  <w:style w:type="character" w:customStyle="1" w:styleId="berschrift1Zchn">
    <w:name w:val="Überschrift 1 Zchn"/>
    <w:basedOn w:val="Absatz-Standardschriftart"/>
    <w:link w:val="berschrift1"/>
    <w:uiPriority w:val="9"/>
    <w:rsid w:val="008E3997"/>
    <w:rPr>
      <w:rFonts w:asciiTheme="majorHAnsi" w:eastAsiaTheme="majorEastAsia" w:hAnsiTheme="majorHAnsi" w:cstheme="majorBidi"/>
      <w:color w:val="2E74B5" w:themeColor="accent1" w:themeShade="BF"/>
      <w:sz w:val="32"/>
      <w:szCs w:val="32"/>
    </w:rPr>
  </w:style>
  <w:style w:type="character" w:customStyle="1" w:styleId="berschrift2Zchn">
    <w:name w:val="Überschrift 2 Zchn"/>
    <w:basedOn w:val="Absatz-Standardschriftart"/>
    <w:link w:val="berschrift2"/>
    <w:uiPriority w:val="9"/>
    <w:rsid w:val="008E3997"/>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8E3997"/>
    <w:pPr>
      <w:ind w:left="720"/>
      <w:contextualSpacing/>
    </w:pPr>
  </w:style>
  <w:style w:type="table" w:styleId="Tabellenraster">
    <w:name w:val="Table Grid"/>
    <w:basedOn w:val="NormaleTabelle"/>
    <w:uiPriority w:val="39"/>
    <w:rsid w:val="008E3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527FDA"/>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27FDA"/>
    <w:rPr>
      <w:rFonts w:ascii="Segoe UI" w:hAnsi="Segoe UI" w:cs="Segoe UI"/>
      <w:sz w:val="18"/>
      <w:szCs w:val="18"/>
    </w:rPr>
  </w:style>
  <w:style w:type="character" w:customStyle="1" w:styleId="berschrift3Zchn">
    <w:name w:val="Überschrift 3 Zchn"/>
    <w:basedOn w:val="Absatz-Standardschriftart"/>
    <w:link w:val="berschrift3"/>
    <w:uiPriority w:val="9"/>
    <w:rsid w:val="00906C91"/>
    <w:rPr>
      <w:rFonts w:asciiTheme="majorHAnsi" w:eastAsiaTheme="majorEastAsia" w:hAnsiTheme="majorHAnsi" w:cstheme="majorBidi"/>
      <w:color w:val="1F4D78" w:themeColor="accent1" w:themeShade="7F"/>
      <w:sz w:val="24"/>
      <w:szCs w:val="24"/>
    </w:rPr>
  </w:style>
  <w:style w:type="character" w:customStyle="1" w:styleId="berschrift4Zchn">
    <w:name w:val="Überschrift 4 Zchn"/>
    <w:basedOn w:val="Absatz-Standardschriftart"/>
    <w:link w:val="berschrift4"/>
    <w:uiPriority w:val="9"/>
    <w:rsid w:val="00906C91"/>
    <w:rPr>
      <w:rFonts w:asciiTheme="majorHAnsi" w:eastAsiaTheme="majorEastAsia" w:hAnsiTheme="majorHAnsi" w:cstheme="majorBidi"/>
      <w:i/>
      <w:iCs/>
      <w:color w:val="2E74B5" w:themeColor="accent1" w:themeShade="BF"/>
    </w:rPr>
  </w:style>
  <w:style w:type="character" w:styleId="Kommentarzeichen">
    <w:name w:val="annotation reference"/>
    <w:basedOn w:val="Absatz-Standardschriftart"/>
    <w:uiPriority w:val="99"/>
    <w:semiHidden/>
    <w:unhideWhenUsed/>
    <w:rsid w:val="00E80F26"/>
    <w:rPr>
      <w:sz w:val="16"/>
      <w:szCs w:val="16"/>
    </w:rPr>
  </w:style>
  <w:style w:type="paragraph" w:styleId="Kommentartext">
    <w:name w:val="annotation text"/>
    <w:basedOn w:val="Standard"/>
    <w:link w:val="KommentartextZchn"/>
    <w:uiPriority w:val="99"/>
    <w:semiHidden/>
    <w:unhideWhenUsed/>
    <w:rsid w:val="00E80F26"/>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E80F26"/>
    <w:rPr>
      <w:sz w:val="20"/>
      <w:szCs w:val="20"/>
    </w:rPr>
  </w:style>
  <w:style w:type="paragraph" w:styleId="Kommentarthema">
    <w:name w:val="annotation subject"/>
    <w:basedOn w:val="Kommentartext"/>
    <w:next w:val="Kommentartext"/>
    <w:link w:val="KommentarthemaZchn"/>
    <w:uiPriority w:val="99"/>
    <w:semiHidden/>
    <w:unhideWhenUsed/>
    <w:rsid w:val="00E80F26"/>
    <w:rPr>
      <w:b/>
      <w:bCs/>
    </w:rPr>
  </w:style>
  <w:style w:type="character" w:customStyle="1" w:styleId="KommentarthemaZchn">
    <w:name w:val="Kommentarthema Zchn"/>
    <w:basedOn w:val="KommentartextZchn"/>
    <w:link w:val="Kommentarthema"/>
    <w:uiPriority w:val="99"/>
    <w:semiHidden/>
    <w:rsid w:val="00E80F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758</Words>
  <Characters>4780</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Holm</dc:creator>
  <cp:keywords/>
  <dc:description/>
  <cp:lastModifiedBy>Felix Holm</cp:lastModifiedBy>
  <cp:revision>12</cp:revision>
  <dcterms:created xsi:type="dcterms:W3CDTF">2016-01-31T14:16:00Z</dcterms:created>
  <dcterms:modified xsi:type="dcterms:W3CDTF">2016-01-31T23:51:00Z</dcterms:modified>
</cp:coreProperties>
</file>